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MINI-MANUAL — MEDIÇÃO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GUIA-CAP-008   ·   Versão Data   ·   10/01/2026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GUIA-CAP-008 — Mini-manual MED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é.</w:t>
      </w:r>
      <w:r>
        <w:rPr>
          <w:rFonts w:ascii="Calibri" w:hAnsi="Calibri"/>
          <w:b w:val="0"/>
          <w:i w:val="0"/>
          <w:sz w:val="22"/>
        </w:rPr>
        <w:t xml:space="preserve"> O processo que coleta, consolida e mantém os indicadores organizacionais. Responde: "os projetos estão sendo entregues com previsibilidade e qualidade — e temos dados para saber isso?"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ele garante.</w:t>
      </w:r>
      <w:r>
        <w:rPr>
          <w:rFonts w:ascii="Calibri" w:hAnsi="Calibri"/>
          <w:b w:val="0"/>
          <w:i w:val="0"/>
          <w:sz w:val="22"/>
        </w:rPr>
        <w:t xml:space="preserve"> Que (1) há indicadores definidos com objetivos e definições operacionais claras; (2) os dados são coletados consistentemente ao longo das sprints; (3) os indicadores são consolidados periodicamente — não apenas pontos isolados; (4) os resultados são analisados e comunicados; (5) a qualidade do próprio repositório de medidas é avaliada.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Por que fazer.</w:t>
      </w:r>
      <w:r>
        <w:rPr>
          <w:rFonts w:ascii="Calibri" w:hAnsi="Calibri"/>
          <w:b w:val="0"/>
          <w:i w:val="0"/>
          <w:sz w:val="22"/>
        </w:rPr>
        <w:t xml:space="preserve"> Indicadores que ninguém consulta não gerenciam nada. O processo separa claramente quem registra o dado bruto (Devs, QA, GP — no Jira) de quem consolida o indicador (Responsável de Medição) e quem usa para decidir (análise crítica). Sem essa separação, a medição vira confusão de papéis e números sem contexto.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Como usar no dia a dia.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Os 7 indicadores estão definidos no PLA-MED-001: 4 de previsibilidade + 3 de qualidade.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Cada papel registra seu dado bruto no Jira/Xray durante as sprints — não retroativamente.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O Responsável de Medição coleta, verifica e consolida mensalmente.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Os resultados consolidados alimentam a análise crítica trimestral.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 qualidade do repositório de medidas é avaliada periodicamente (PLA-MED-001 §8).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Erro comum a evitar.</w:t>
      </w:r>
      <w:r>
        <w:rPr>
          <w:rFonts w:ascii="Calibri" w:hAnsi="Calibri"/>
          <w:b w:val="0"/>
          <w:i w:val="0"/>
          <w:sz w:val="22"/>
        </w:rPr>
        <w:t xml:space="preserve"> Apresentar o burndown como indicador organizacional — é ferramenta de sprint. Os 7 indicadores do catálogo são os únicos que contam para o processo. Outro erro frequente: consolidar dados apenas quando solicitado, em vez de manter o ritmo mensal que permite ver tendências.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dos 7 indicadores conforme PLA-MED-001 v1.3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GUIA-CAP-008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