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VERIFICAÇÃO DE GQA — [NOME DO PROJETO]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TPL-GPC-001   ·   [dd/mm/aaaa]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TEMPLATE (TPL-GPC-001).</w:t>
      </w:r>
      <w:r>
        <w:rPr>
          <w:rFonts w:ascii="Calibri" w:hAnsi="Calibri"/>
          <w:b w:val="0"/>
          <w:i w:val="0"/>
          <w:color w:val="1A5276"/>
          <w:sz w:val="22"/>
        </w:rPr>
        <w:t xml:space="preserve"> Preencher um registro por verificação realizada. Cada verificação corresponde a um marco do processo-padrão ou a uma amostragem, conforme EST-GPC-001 §4. O auditor de GQA deve ser independente da equipe verificada (EST-GPC-001 §3). Arquivar na seção "Registros de GQA" do projeto no Confluence.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 do projeto]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Marco / tipo de verificação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[Abertura · Discovery/Requisitos · Concepção · Aprovação do Plano · Desenvolvimento — sprint N · Homologação/Entrega · Encerramento · Amostragem]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[dd/mm/aaaa]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Auditor (GQA)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[Nome/papel]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[Nome/papel]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Escopo da verificação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[Descrever o que foi verificado: quais produtos de trabalho foram examinados e quais atividades do processo foram observadas.]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Verificação de aderência ao processo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Marcar cada item: ✅ Conforme | ⚠ Desvio | N/A Não se aplica. Para cada ⚠, registrar o achado na seção 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 ao processo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Verificação de produtos de trabalho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Verificar existência, completude e conformidade com o padrão (template correto, versionamento, campos obrigatórios preenchidos).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Produto de trabalho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Existe?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Completo?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Segue padrão?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Achados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Registrar cada desvio das seções 2 e 3. Se nenhum, registrar "Nenhum desvio identificado".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Recomendação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[Alta · Média · Baixa]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[dd/mm/aaaa]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[Aberto · Em andamento · Resolvido]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Resultado geral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[Conforme · Conforme com ressalvas · Não conforme]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% de conformidade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[itens conformes ÷ itens aplicáveis × 100]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Achados abertos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Oportunidades de melhoria identificadas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[...] </w:t>
            </w:r>
            <w:r>
              <w:rPr>
                <w:rFonts w:ascii="Calibri" w:hAnsi="Calibri"/>
                <w:b w:val="0"/>
                <w:i/>
                <w:sz w:val="20"/>
              </w:rPr>
              <w:t>(ou "Nenhuma")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TPL-GPC-001</w:t>
    </w:r>
    <w:r>
      <w:tab/>
    </w:r>
    <w:r>
      <w:rPr>
        <w:rFonts w:ascii="Calibri" w:hAnsi="Calibri"/>
        <w:color w:val="555555"/>
        <w:sz w:val="18"/>
      </w:rPr>
      <w:t>Gerência de Processos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