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[CÓDIGO   ·   Versão [versão]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(TPL-GPR-002).</w:t>
      </w:r>
      <w:r>
        <w:rPr>
          <w:rFonts w:ascii="Calibri" w:hAnsi="Calibri"/>
          <w:b w:val="0"/>
          <w:i w:val="0"/>
          <w:color w:val="1A5276"/>
          <w:sz w:val="22"/>
        </w:rPr>
        <w:t xml:space="preserve"> Registrado no kickoff gerencial (Fase 2 do PRO-GPC-001).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 Documento da camada de gestão de projetos (GPR).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TAP-PROJ-XXX]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[responsável]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[Descreva, em poucas linhas, o que o projeto se propõe a entregar e o resultado esperado para o cliente.]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[Escopo geral conforme o contrato/proposta comercial. O detalhamento ocorre nos requisitos e no plano.]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 (macro):</w:t>
      </w:r>
      <w:r>
        <w:rPr>
          <w:rFonts w:ascii="Calibri" w:hAnsi="Calibri"/>
          <w:b w:val="0"/>
          <w:i w:val="0"/>
          <w:sz w:val="22"/>
        </w:rPr>
        <w:t xml:space="preserve"> [...]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[...]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[cliente/área]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Demais papéis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[Grandes marcos com datas-alvo (não fechadas). O cronograma fechado vem no Plano de Projeto, após a concepção.]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(abertura)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do Discovery / Requisitos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Fim da Concepção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Plano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 previstas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[datas]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[Atividades planejadas para as próximas semanas — reuniões com cliente, levantamento de requisitos, validações.]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[Premissas assumidas e restrições conhecidas na abertura.]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kickoff é um marco gerencial. Registre a realização da reunião — a ata correspondente é a evidência do marco.]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 de kickoff realizada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[link/ata]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v[versão]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[CÓDIGO</w:t>
    </w:r>
    <w:r>
      <w:tab/>
    </w:r>
    <w:r>
      <w:rPr>
        <w:rFonts w:ascii="Calibri" w:hAnsi="Calibri"/>
        <w:color w:val="555555"/>
        <w:sz w:val="18"/>
      </w:rPr>
      <w:t>Timeware MPS-SW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