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SUPERAPP FRUKI · PACOTE 1 — MÓDULO METAS E RV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Sim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ADAP-FRUKI01-001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1 — Módulo Metas e Remuneração Variável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 UX/UI — aplicativo mobile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é um aplicativo React Native / Expo; todas as features envolvem desenvolvimento de telas e experiência do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 protótipos; cliente valida regras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Cecília Ribeiro (Fruki) fornece as regras de negócio e valida os protótipos; Brenda Chrystie (Timeware) é responsável pelo design; APIs e dados são fornecidos pelo time técnico Fruki (Jardel/Renan)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— nível de documentação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Módulo único (Metas/RV) entregue em ~3 meses; equipe de 5 pessoas; escopo bem delimitado ao Pacote 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Oliveira: GP + Product Owner; Brenda Chrystie: UX + analista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Abraão gerencia o projeto e representa o produto junto ao cliente; Brenda conduz levantamento de regras e produz protótipos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Criticidade e regulação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Aplicativo comercial interno sem regulação específica (não há dados sensíveis de consumidores externos ou requisitos regulatórios)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única do módulo + piloto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contínuo com piloto em agosto/2025 e aceite após ajustes; entrega via Pull Request no Azure DevOps e APK para testes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Adotado — Expo APK + branch feature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Builds de teste (APK) gerados via Expo antes de cada merge; revisão técnica do Jardel antes do merge na branch principal; link Expo compartilhado com cliente para validação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Protótipos criados em Figma por Brenda Chrystie e validados por Cecília Ribeiro antes de cada sprint de desenvolvimento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Levantamento formal das features por módulo, com regras de negócio fornecidas pela Fruki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funcionais via APK com cliente e verificação técnica via revisão de PR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Aplicável — simplificada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Integração com 4 APIs REST da Fruki via endpoints documentados; versionamento de branches no Azure DevOps. Ver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ITP-FRUKI01-001_Estrategia-de-Integracao.md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rastreados aos módulos entregues e às PRs no Azure 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por pares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técnica das PRs pelo Jardel (Fruki) antes do merge; revisão interna de código pela equipe 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treinamento formal de usuários no escopo deste projeto; a equipe técnica da Fruki acessa o repositório e as APIs diretamente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decisões arquiteturais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Aplicável — simplificada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Decisão técnica de tratamento de latência e normalização no front-end registrada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GDE-FRUKI01-001_Registro-de-Decisao.md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Plano de Projeto aprovado pelo cliente (baseline)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Encerramento formal com aceite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retroativo (projeto executado jun/2025–set/2025)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e GDE referenciados explicitamente na tabela de etapas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Sim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