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ANÁLISE DE DECISÃO — SUPERAPP FRUKI · TRATAMENTO DE DADOS DE API NO FRONT-END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GDE-FRUKI01-001   ·   Versão Data   ·   05/06/2026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GDE-FRUKI01-001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 / contexto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SuperApp Fruki — Força de Vendas (Pacote 1 + Pacote Final 24)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pela decisão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Decisão 1: Tratamento de dados da API no front-end vs. solicitação de correção ao time Fruki</w:t>
      </w:r>
    </w:p>
    <w:p>
      <w:pPr>
        <w:pStyle w:val="Heading2"/>
        <w:keepNext/>
        <w:keepLines/>
      </w:pPr>
      <w:r>
        <w:t>1. Problema / decisão a tomar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Durante o Pacote 1 (Jul/2025), identificou-se que a API </w:t>
      </w:r>
      <w:r>
        <w:rPr>
          <w:rFonts w:ascii="Courier New" w:hAnsi="Courier New"/>
          <w:b w:val="0"/>
          <w:i w:val="0"/>
          <w:color w:val="333333"/>
          <w:sz w:val="20"/>
        </w:rPr>
        <w:t>/acompanhamentoMetasFamilias</w:t>
      </w:r>
      <w:r>
        <w:rPr>
          <w:rFonts w:ascii="Calibri" w:hAnsi="Calibri"/>
          <w:b w:val="0"/>
          <w:i w:val="0"/>
          <w:sz w:val="22"/>
        </w:rPr>
        <w:t xml:space="preserve"> retornava latência de ~3,10s para 5 pedidos e registros duplicados de famílias de produtos. A mesma situação se repetiu no Pacote Final 24 com a API de Pedidos Não Alocados, que retornava dados em formato não padronizado. A decisão é: solicitar correção ao time de TI da Fruki ou tratar os problemas no front-end React Native.</w:t>
      </w:r>
    </w:p>
    <w:p>
      <w:pPr>
        <w:pStyle w:val="Heading2"/>
        <w:keepNext/>
        <w:keepLines/>
      </w:pPr>
      <w:r>
        <w:t>2. Gatilho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Decisão técnica com impacto direto no prazo e na experiência do usuário; envolve definição de responsabilidade entre Timeware (front-end) e Fruki (back-end/API) — decisão com impacto no escopo e na arquitetura.</w:t>
      </w:r>
    </w:p>
    <w:p>
      <w:pPr>
        <w:pStyle w:val="Heading2"/>
        <w:keepNext/>
        <w:keepLines/>
      </w:pPr>
      <w:r>
        <w:t>3. Alternativas consideradas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Alternativa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Solicitar correção das APIs ao time Fruki (Jardel/Renan)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Abrir requisição formal de correção da latência, remoção de duplicatas e normalização do formato da resposta; aguardar correção antes de prosseguir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Tratar os problemas de dados no front-end React Native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Implementar deduplicação, normalização de formato e loading state (skeleton screen) diretamente no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metasService.ts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pedidosNaoAlocadosService.ts</w:t>
            </w:r>
            <w:r>
              <w:rPr>
                <w:rFonts w:ascii="Calibri" w:hAnsi="Calibri"/>
                <w:b w:val="0"/>
                <w:i w:val="0"/>
                <w:sz w:val="20"/>
              </w:rPr>
              <w:t>; continuar o desenvolvimento em paralelo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4. Critérios de avaliação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Peso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Impacto no prazo de entrega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Capacidade de execução pela equipe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Risco de retrabalho futuro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Dependência do cliente (Fruki TI)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5. Avaliação (matriz de decisão)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Peso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Alt. A (solicitar correção)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Alt. B (tratar no front-end)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Impacto no prazo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Negativo — risco de bloqueio por 1–2 semanas aguardando correção do time Fruki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Positivo — desenvolvimento continua sem dependência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Capacidade de execução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Negativo — fora do controle da Timeware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Positivo — equipe Timeware tem autonomia total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Risco de retrabalho futuro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Positivo (se corrigido) — dados normalizados na origem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Neutro — solução de contorno funcional; pode exigir ajuste se API mudar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Dependência do cliente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Negativo — disponibilidade do time Fruki é incerta no sprint atual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Positivo — elimina dependência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Total ponderado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Desfavorável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Favorável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6. Decisão e justificativa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Alternativa B — Tratar os problemas de dados no front-end.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time de TI da Fruki (Jardel/Renan) não tinha disponibilidade para corrigir as APIs no prazo das sprints em andamento. A implementação de deduplicação, normalização e loading state no front-end é tecnicamente simples para a equipe Timeware e elimina a dependência de um pré-requisito externo. A solução é encapsulada nos serviços (</w:t>
      </w:r>
      <w:r>
        <w:rPr>
          <w:rFonts w:ascii="Courier New" w:hAnsi="Courier New"/>
          <w:b w:val="0"/>
          <w:i w:val="0"/>
          <w:color w:val="333333"/>
          <w:sz w:val="20"/>
        </w:rPr>
        <w:t>metasService.ts</w:t>
      </w:r>
      <w:r>
        <w:rPr>
          <w:rFonts w:ascii="Calibri" w:hAnsi="Calibri"/>
          <w:b w:val="0"/>
          <w:i w:val="0"/>
          <w:sz w:val="22"/>
        </w:rPr>
        <w:t xml:space="preserve"> e </w:t>
      </w:r>
      <w:r>
        <w:rPr>
          <w:rFonts w:ascii="Courier New" w:hAnsi="Courier New"/>
          <w:b w:val="0"/>
          <w:i w:val="0"/>
          <w:color w:val="333333"/>
          <w:sz w:val="20"/>
        </w:rPr>
        <w:t>pedidosNaoAlocadosService.ts</w:t>
      </w:r>
      <w:r>
        <w:rPr>
          <w:rFonts w:ascii="Calibri" w:hAnsi="Calibri"/>
          <w:b w:val="0"/>
          <w:i w:val="0"/>
          <w:sz w:val="22"/>
        </w:rPr>
        <w:t>) e pode ser removida futuramente se a API for corrigida sem impacto na interface.</w:t>
      </w:r>
    </w:p>
    <w:p>
      <w:pPr>
        <w:pStyle w:val="Heading2"/>
        <w:keepNext/>
        <w:keepLines/>
      </w:pPr>
      <w:r>
        <w:t>7. Riscos associados à decisão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Risco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Resposta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API mudar o formato no futuro, invalidando a normalização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código de normalização é centralizado nos services; manutenção futura isolada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latência piorar e o loading state não ser suficiente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Monitorar em campo; paginação ou cache local como contingência se necessário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8. Premissas (para revisão futura)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 time de TI da Fruki não tem capacidade de corrigir as APIs no prazo do projeto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normalização no front-end não afeta a corretude dos dados apresentados ao usuário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As APIs não mudarão de formato durante o projeto ativo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Decisão 2: Renomeação de "Caixa Preta" para "Regra de Ouro" (Pacote Final 24)</w:t>
      </w:r>
    </w:p>
    <w:p>
      <w:pPr>
        <w:pStyle w:val="Heading2"/>
        <w:keepNext/>
        <w:keepLines/>
      </w:pPr>
      <w:r>
        <w:t>1. Problema / decisão a tomar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módulo de composição detalhada da remuneração variável era denominado internamente pela Fruki como "Caixa Preta". Durante a revisão de protótipos com Cecília Ribeiro em 22/10/2025, surgiu a discussão sobre a nomenclatura adequada para a interface do usuário.</w:t>
      </w:r>
    </w:p>
    <w:p>
      <w:pPr>
        <w:pStyle w:val="Heading2"/>
        <w:keepNext/>
        <w:keepLines/>
      </w:pPr>
      <w:r>
        <w:t>2. Gatilho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Decisão de UX/nomenclatura com impacto na experiência do usuário e na comunicação interna da Fruki — envolveu alinhamento com o cliente.</w:t>
      </w:r>
    </w:p>
    <w:p>
      <w:pPr>
        <w:pStyle w:val="Heading2"/>
        <w:keepNext/>
        <w:keepLines/>
      </w:pPr>
      <w:r>
        <w:t>3. Alternativas consideradas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Alternativa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Manter "Caixa Preta" conforme denominação interna Fruki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Usar o mesmo nome que o time usa internamente para o sistema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Renomear para "Regra de Ouro"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Adotar nomenclatura mais positiva e compreensível para os vendedores em campo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4. Critérios de avaliação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Peso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Experiência do usuário (vendedor em campo)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Alinhamento com o cliente (Fruki)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Esforço de implementação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Baixo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5. Avaliação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Alt. A ("Caixa Preta")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Alt. B ("Regra de Ouro")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Experiência do usuário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Neutro — nome conhecido internamente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Positivo — nome mais motivador para o vendedor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Alinhamento com cliente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Neutro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Positivo — sugestão aceita por Cecília Ribeiro em 22/10/2025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Esforço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Nenhum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Mínimo — ajuste de texto nas telas e documentação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6. Decisão e justificativa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Alternativa B — "Regra de Ouro".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Cecília Ribeiro aprovou a nomenclatura "Regra de Ouro" por ser mais positiva e motivadora para os representantes comerciais. O esforço de implementação é mínimo. Decisão tomada em 22/10/2025 durante revisão de protótipos.</w:t>
      </w:r>
    </w:p>
    <w:p>
      <w:pPr>
        <w:pStyle w:val="Heading2"/>
        <w:keepNext/>
        <w:keepLines/>
      </w:pPr>
      <w:r>
        <w:t>7. Riscos associados à decisão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Risco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Resposta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Comunicação interna da Fruki continuar usando "Caixa Preta" causando confusão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Leandro Lottermann e Cecília comunicarão a mudança de nomenclatura ao time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8. Premissas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Cecília Ribeiro tem autoridade para aprovar a mudança de nomenclatura na interface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 time de vendas da Fruki aceitará a nova nomenclatura sem dificuldades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duas decisões registradas: tratamento front-end de dados de API e renomeação "Caixa Preta" → "Regra de Ouro"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GDE-FRUKI01-001</w:t>
    </w:r>
    <w:r>
      <w:tab/>
    </w:r>
    <w:r>
      <w:rPr>
        <w:rFonts w:ascii="Calibri" w:hAnsi="Calibri"/>
        <w:color w:val="555555"/>
        <w:sz w:val="18"/>
      </w:rPr>
      <w:t>Gerência de Decisões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