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ANÁLISE DE DECISÃO — ISOLAMENTO DE CLIENTES NO AZURE APIM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GDE-GASMIG02-001   ·   Versão Data   ·   14/04/2026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GDE-GASMIG02-001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GASMIG — Governança de APIs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decisão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(Tech Lead / Arquiteto) / Abraão Oliveira (GP/PO)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Problema / decisão a tomar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GASMIG precisa servir dois clientes industriais distintos (ArcelorMittal e Usiminas) a partir de uma única instância do Azure API Management, com isolamento completo de APIs, políticas e assinaturas por cliente. É necessário definir a </w:t>
      </w:r>
      <w:r>
        <w:rPr>
          <w:rFonts w:ascii="Calibri" w:hAnsi="Calibri"/>
          <w:b/>
          <w:i w:val="0"/>
          <w:sz w:val="22"/>
        </w:rPr>
        <w:t>estratégia de isolamento</w:t>
      </w:r>
      <w:r>
        <w:rPr>
          <w:rFonts w:ascii="Calibri" w:hAnsi="Calibri"/>
          <w:b w:val="0"/>
          <w:i w:val="0"/>
          <w:sz w:val="22"/>
        </w:rPr>
        <w:t xml:space="preserve"> que será adotada como padrão na fundação — uma decisão arquitetural que impacta toda a estrutura da plataforma e é praticamente irreversível após a configuração.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Gatilho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Decisão de arquitetura/técnica relevante e irreversível: a estrutura escolhida determina como novos clientes serão integrados no futuro e não pode ser alterada sem reconfiguração completa da instância APIM.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Alternativas consideradas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Alternativa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Produtos/Assinaturas por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Criar produtos APIM separados por cliente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prod-arcelormittal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prod-usiminas</w:t>
            </w:r>
            <w:r>
              <w:rPr>
                <w:rFonts w:ascii="Calibri" w:hAnsi="Calibri"/>
                <w:b w:val="0"/>
                <w:i w:val="0"/>
                <w:sz w:val="20"/>
              </w:rPr>
              <w:t>) com assinaturas individuais. Políticas de isolamento implementadas por produto, sem separação de plano de administração.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Workspaces APIM dedicados por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Criar um workspace APIM por cliente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ws-arcelormittal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ws-usiminas</w:t>
            </w:r>
            <w:r>
              <w:rPr>
                <w:rFonts w:ascii="Calibri" w:hAnsi="Calibri"/>
                <w:b w:val="0"/>
                <w:i w:val="0"/>
                <w:sz w:val="20"/>
              </w:rPr>
              <w:t>), cada um com seu próprio plano de administração, APIs, políticas e assinaturas completamente isolados da instância principal.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Critérios de avaliação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Peso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Isolamento e segurança (dados e políticas de um cliente não acessíveis ao outro)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Escalabilidade (facilidade de adicionar novos clientes no futuro)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Delegação de administração (possibilidade de dar acesso administrativo limitado por cliente)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Complexidade de configuração inicial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Avaliação (matriz de decisão)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Peso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Alt. A — Produtos/Assinaturas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Alt. B — Workspaces dedicados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Isolamento e segurança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Parcial — dados isolados, mas plano de administração compartilhado; risco de cross-contamination em políticas globais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Total — cada workspace é um domínio isolado de administração e dados; políticas de um workspace não afetam o outro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Escalabilidade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 — novos clientes aumentam a complexidade do plano de produtos compartilhado; difícil de governar com muitos clientes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 — cada novo cliente = novo workspace independente; padrão replicável sem reconfiguração da base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Delegação de administração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suportado nativamente — acesso administrativo é all-or-nothing na instância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Suportado — cada workspace pode ter seus próprios administradores, sem acesso aos demais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Complexidade de configuração inicial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Menor — configuração mais simples, familiar para equipes com experiência em APIM básico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Maior — requer provisionamento de workspace e configuração de permissões por workspace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Avaliação geral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Adequada para casos simples; insuficiente para fundação corporativa multi-cliente de longo prazo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Solução de referência para governança corporativa multi-tenant no Azure APIM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Decisão e justificativa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Decisão: Alternativa B — Workspaces APIM dedicados por cliente.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fundação GASMIG é explicitamente projetada para ser reutilizável em projetos futuros de API. Com dois clientes na primeira OS e expansão prevista, o modelo de workspaces é o único que oferece isolamento completo (dados + administração) sem reconfiguração da base a cada novo cliente. A complexidade adicional na configuração inicial é compensada pela simplicidade operacional ao longo do tempo. O modelo de Produtos/Assinaturas adequaria-se a um cenário de cliente único ou com necessidade de isolamento apenas lógico, o que não é o caso da GASMIG.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Riscos associados à decisão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Resposta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funcionalidade de Workspaces pode exigir tier Premium ou determinada versão do APIM, não disponível no tenant GASMIG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Verificar o tier atual da instância APIM GASMIG antes da configuração; escalar para Sérgio Villaça se necessário (risco R-02 do PLA-GASMIG02-001)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de execução sem experiência prévia com Workspaces APIM (recurso mais recente)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conduz o provisionamento inicial e revisão; documentação Microsoft como referência; reservar tempo de validação antes do deploy final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Premissas (para revisão futura)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tenant GASMIG possui instância APIM em tier compatível com Workspaces (Standard v2 ou Premium).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modelo de dois clientes industriais (ArcelorMittal e Usiminas) permanece; se o modelo de negócio mudar para acesso totalmente compartilhado sem isolamento, a decisão deve ser reavaliada.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Não há restrições regulatórias ou contratuais que impeçam o uso de uma instância APIM compartilhada com isolamento por workspace.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/ 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inicial da decisão de arquitetura de isolamento de clientes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14/04/2026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14/04/2026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GDE-GASMIG02-001</w:t>
    </w:r>
    <w:r>
      <w:tab/>
    </w:r>
    <w:r>
      <w:rPr>
        <w:rFonts w:ascii="Calibri" w:hAnsi="Calibri"/>
        <w:color w:val="555555"/>
        <w:sz w:val="18"/>
      </w:rPr>
      <w:t>Gerência de Decisões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