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DOCUMENTO DE DESIGN — FUNDAÇÃO TECNOLÓGICA GASMIG · OS-PARCELA-001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PCP-GASMIG02-001   ·   Versão Data   ·   29/04/2026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PCP-GASMIG02-001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(Tech Lead / Arquiteto) / Abraão Oliveira (GP/PO)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Visão geral da solução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solução configura uma instância Azure API Management (APIM) como plataforma central de governança de APIs da GASMIG. A arquitetura estabelece uma fundação corporativa escalável: todos os requisitos de segurança, acesso, catalogação e isolamento por cliente são implementados como políticas e workspaces nativos do APIM, sem desenvolvimento de software customizado.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design prioriza </w:t>
      </w:r>
      <w:r>
        <w:rPr>
          <w:rFonts w:ascii="Calibri" w:hAnsi="Calibri"/>
          <w:b/>
          <w:i w:val="0"/>
          <w:sz w:val="22"/>
        </w:rPr>
        <w:t>reutilização</w:t>
      </w:r>
      <w:r>
        <w:rPr>
          <w:rFonts w:ascii="Calibri" w:hAnsi="Calibri"/>
          <w:b w:val="0"/>
          <w:i w:val="0"/>
          <w:sz w:val="22"/>
        </w:rPr>
        <w:t xml:space="preserve"> — políticas são definidas em fragmentos reutilizáveis; workspaces são isolados e parametrizáveis; a adição de novos clientes ou APIs não requer reconfiguração da base.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Design técnico (arquitetura)</w:t>
      </w:r>
    </w:p>
    <w:p>
      <w:pPr>
        <w:pStyle w:val="Heading2"/>
        <w:keepNext/>
        <w:keepLines/>
      </w:pPr>
      <w:r>
        <w:t>2.1. Arquitetura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Componentes principais: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             Microsoft Azure (Tenant GASMIG)            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                                                        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┌──────────────────────────────────────────────────────────┐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            Azure API Management (APIM)             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                                                    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┌─────────────────┐    ┌──────────────────────────┐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│  Gateway Externo │    │    Portal do             │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│  (modo público)  │    │  Desenvolvedor (Catálogo) │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└────────┬────────┘    └──────────────────────────┘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         │                                          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┌────────▼────────────────────────────────────────┐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│              Camada de Políticas Globais         │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│  (segurança, CORS, HTTPS enforced, rate base)    │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└────────────────────────────────────────────────-┘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                                                    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┌──────────────────────────────────────────────────┐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│                   Produtos                        │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│  prod-interno │ prod-externo │ prod-sandbox       │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└──────────────────────────────────────────────────┘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                                                    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┌─────────────────────┐  ┌─────────────────────────┐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│  Workspace           │  │  Workspace              │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│  ArcelorMittal       │  │  Usiminas               │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│  (APIs + políticas   │  │  (APIs + políticas      │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│   isoladas)          │  │   isoladas)             │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└─────────────────────┘  └─────────────────────────┘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└──────────────────────────────────────────────────────────┘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                                                        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┌──────────────────────┐   ┌──────────────────────────────┐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Microsoft Entra ID  │   │  Azure DevOps GASMIG     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(SSO / SAML para    │   │  (repositório IaC —      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 portal do dev.)    │   │   scripts Bicep/ARM)     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└──────────────────────┘   └──────────────────────────────┘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Consumidores externos:                     Consumidores internos: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ArcelorMittal ──► ws-arcelormittal         Equipe GASMIG ──► prod-interno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Usiminas      ──► ws-usiminas              (rede corporativa GASMIG)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Sandbox       ──► prod-sandbox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Camadas da arquitetura: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Gateway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APIM Gateway (modo externo)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Recebe e roteia todas as requisições; aplica políticas globais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Governança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globais APIM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HTTPS enforced, headers de segurança, base de autenticação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Catálogo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Portal do Desenvolvedor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Exibição padronizada de APIs para consumidores internos e externos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Segregação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Produtos e grupos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Isolamento lógico por perfil de acesso (interno, externo, sandbox)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Isolamento por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Workspaces (ArcelorMittal, Usiminas)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Segregação de APIs, credenciais e políticas por cliente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Segurança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de IP + subscription keys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acesso por origem (interno/externo) e por credencial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carga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Rate limiting + throttling (named values)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Proteção dos backends e SLA por cliente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Entra ID (SAML)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SSO corporativo para o portal do desenvolvedor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— IaC scripts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Versionamento de toda a configuração em Bicep/ARM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2.2. Modelo de dados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projeto não envolve banco de dados. Os principais objetos de configuração do APIM e suas relações são: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APIM Service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Named Values (variáveis globais — thresholds de rate, IPs internos, etc.)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Policy Fragments (fragmentos reutilizáveis de políticas)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Produtos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prod-gasmig-interno       ──► APIs internas, acesso por rede GASMIG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prod-gasmig-externo       ──► APIs externas gerais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└── prod-gasmig-sandbox       ──► APIs de exemplo para teste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Grupos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grp-gasmig-interno        ──► Usuários rede corporativa GASMIG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grp-gasmig-externo        ──► Parceiros e grandes clientes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└── grp-gasmig-administradores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Workspaces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ws-arcelormittal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├── APIs                  ──► (publicadas neste workspace)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├── Produtos              ──► prod-ws-arcelormittal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└── Assinaturas           ──► subscription keys ArcelorMittal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└── ws-usiminas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├── APIs                  ──► (publicadas neste workspace)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├── Produtos              ──► prod-ws-usiminas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└── Assinaturas           ──► subscription keys Usiminas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└── Portal do Desenvolvedor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Layout e branding GASMIG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Visibilidade por grupo (interno/externo)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└── SSO — Entra ID GASMIG (SAML 2.0)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2"/>
        <w:keepNext/>
        <w:keepLines/>
      </w:pPr>
      <w:r>
        <w:t>2.3. Integrações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Sistema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Entra ID (tenant GASMIG)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SSO / Identidade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Autenticação de usuários no portal do desenvolvedor via SAML 2.0 delegada ao Entra ID corporativo da GASMIG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Rede corporativa GASMIG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acesso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IPs da rede interna GASMIG utilizados nas políticas de restrição de IP do produto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prod-gasmig-interno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GASMIG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IaC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Bicep/ARM gerados durante o projeto armazenados no Azure DevOps da GASMIG para rastreabilidade e reuso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APIs de backend (futuros projetos)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Gateway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APIM atua como gateway reverso para APIs que serão publicadas em projetos subsequentes — a configuração desta OS provê a plataforma, não os backends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2.4. Decisões de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Alternativas consideradas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Escolha e justificativa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RAD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Instância APIM única vs. múltiplas instâncias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(A) APIM único centralizado; (B) APIM separado por 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 — APIM único.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Reduz custo operacional, centraliza a governança e é o padrão Microsoft recomendado para o caso de uso. O isolamento por cliente é obtido nativamente via workspaces.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Isolamento por cliente: workspaces vs. produtos separados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(A) Workspaces dedicados; (B) Produtos com políticas diferenciadas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 — Workspaces.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Workspaces oferecem isolamento de ciclo de vida (APIs, políticas, assinaturas independentes por cliente). Produtos compartilham o escopo global, sem isolamento real.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Sandbox: produto separado vs. instância APIM separada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(A) Produto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prod-sandbox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na mesma instância; (B) Instância APIM dedicada para sandbox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 — Produto separado.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Custo-benefício superior; segregação suficiente para o objetivo de testes e validações pré-produção.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IaC: Bicep vs. ARM templates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(A) Bicep; (B) ARM JSON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 — Bicep.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Sintaxe mais legível, suporte nativo da Microsoft, facilita manutenção futura pela equipe GASMIG.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carga: named values vs. valores hard-coded nas políticas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(A) Named values parametrizáveis; (B) Hard-coded nas políticas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 — Named values.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Permite alterar thresholds de rate limiting e throttling sem editar as políticas diretamente. Alinhado ao requisito de escalabilidade (RNF-04).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Design de produto (UX/UI)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Não aplicável.</w:t>
      </w:r>
      <w:r>
        <w:rPr>
          <w:rFonts w:ascii="Calibri" w:hAnsi="Calibri"/>
          <w:b w:val="0"/>
          <w:i w:val="0"/>
          <w:sz w:val="22"/>
        </w:rPr>
        <w:t xml:space="preserve"> Conforme ADAP-GASMIG02-001, este é um projeto de infraestrutura e configuração cloud sem desenvolvimento de interface de usuário pela Timeware. O portal do desenvolvedor é um componente nativo do Azure API Management que será configurado (não desenvolvido).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Rastreabilidade requisito →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(ID)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Elemento de design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 — Governança corporativa APIM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Named values, policy fragments, políticas globais, estrutura de produtos e grupos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 — Controle de acesso / ciclo de vida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TTL de subscription keys; políticas de renovação; grupos de usuários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 — Segurança acesso interno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Política de restrição de IP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prod-gasmig-interno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IPs da rede corporativa GASMIG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 — Segurança acesso externo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Política de validação de credenciais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prod-gasmig-externo</w:t>
            </w:r>
            <w:r>
              <w:rPr>
                <w:rFonts w:ascii="Calibri" w:hAnsi="Calibri"/>
                <w:b w:val="0"/>
                <w:i w:val="0"/>
                <w:sz w:val="20"/>
              </w:rPr>
              <w:t>; IP restrictions para parceiros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 — Sandbox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Produto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prod-gasmig-sandbox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APIs de exemplo; isolamento lógico do ambiente produtivo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RF-06 — Catálogo corporativo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Portal do desenvolvedor: layout GASMIG, visibilidade por grupo (interno/externo)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RF-07 — Workspace ArcelorMittal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ws-arcelormittal</w:t>
            </w:r>
            <w:r>
              <w:rPr>
                <w:rFonts w:ascii="Calibri" w:hAnsi="Calibri"/>
                <w:b w:val="0"/>
                <w:i w:val="0"/>
                <w:sz w:val="20"/>
              </w:rPr>
              <w:t>: produtos, assinaturas e políticas dedicadas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RF-08 — Workspace Usiminas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ws-usiminas</w:t>
            </w:r>
            <w:r>
              <w:rPr>
                <w:rFonts w:ascii="Calibri" w:hAnsi="Calibri"/>
                <w:b w:val="0"/>
                <w:i w:val="0"/>
                <w:sz w:val="20"/>
              </w:rPr>
              <w:t>: produtos, assinaturas e políticas dedicadas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 — Rate limiting por workspace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Named values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nv-ratelimit-arcelormittal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nv-ratelimit-usiminas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policy fragment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pf-ratelimit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 — Throttling por workspace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Named values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nv-throttle-arcelormittal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nv-throttle-usiminas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policy fragment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pf-throttle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RNF-01 — Boas práticas Microsoft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auditável vs. Azure Well-Architected Framework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RNF-02 — 100% Azure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recursos provisionados no Azure (tenant GASMIG)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RNF-03 — SSO SAML / Entra ID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do portal do desenvolvedor com provedor de identidade Entra ID (SAML 2.0)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RNF-04 — Escalabilidade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Named values parametrizáveis; workspaces independentes; políticas modulares por fragmento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RNF-05 — IaC / versionamento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Bicep/ARM exportados e armazenados no Azure DevOps GASMIG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Matriz completa: ver </w:t>
      </w:r>
      <w:r>
        <w:rPr>
          <w:rFonts w:ascii="Courier New" w:hAnsi="Courier New"/>
          <w:b w:val="0"/>
          <w:i w:val="0"/>
          <w:color w:val="333333"/>
          <w:sz w:val="20"/>
        </w:rPr>
        <w:t>RASTR-GASMIG02-001_Matriz-de-Rastreabilidade.md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Verificação técnica do design (PCP 2)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Em projetos de configuração de ferramenta, a avaliação do design é uma verificação técnica realizada pelo Tech Lead antes da execução e antes da sessão de aceite com o cliente.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verificação técnica do design e da configuração será realizada por Cézar Hiraki em 13/05/2026, cobrindo: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Topologia APIM e estrutura de workspaces (aderência a esta seção 2)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Políticas de segurança (IP restrictions, validação de credenciais)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Configuração SSO Entra ID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Scripts IaC (Bicep/ARM) — completude e idempotência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Topologia APIM e estrutura de workspaces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verificar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de segurança (IP, credenciais)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verificar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SSO Entra 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verificar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IaC (Bicep/ARM)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verificar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13/05/2026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/ 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5 ajustada: avaliação do design como verificação técnica (não revisão de código); adequação ao tipo de projeto de configuração de ferramenta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29/04/2026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29/04/2026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PCP-GASMIG02-001</w:t>
    </w:r>
    <w:r>
      <w:tab/>
    </w:r>
    <w:r>
      <w:rPr>
        <w:rFonts w:ascii="Calibri" w:hAnsi="Calibri"/>
        <w:color w:val="555555"/>
        <w:sz w:val="18"/>
      </w:rPr>
      <w:t>Projeto e Construção do Produto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