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PLA-GASMIG02-001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de APIs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Configurar a Fundação Tecnológica de Integração da GASMIG sobre o Azure API Management, estabelecendo governança corporativa, controle de acesso, segurança segmentada (interno/externo), sandbox, catálogo corporativo e workspaces dedicados por cliente (ArcelorMittal e Usiminas). O resultado é uma plataforma reutilizável que elimina o retrabalho em futuros projetos de API da GASMIG.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de escopo: ver </w:t>
      </w:r>
      <w:r>
        <w:rPr>
          <w:rFonts w:ascii="Courier New" w:hAnsi="Courier New"/>
          <w:b w:val="0"/>
          <w:i w:val="0"/>
          <w:color w:val="333333"/>
          <w:sz w:val="20"/>
        </w:rPr>
        <w:t>REQ-GASMIG02-001_Documento-de-Requisitos.md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RF-01 a RF-10 e RNF-01 a RNF-05 conforme REQ-GASMIG02-001. Em síntese: governança APIM, controle de acesso, barreiras de segurança, sandbox, catálogo, workspaces ArcelorMittal/Usiminas, rate limiting, throttling e SSO via Entra ID.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Azure Key Vault, OAuth 2.0 / API Keys, versionamento de APIs, monitoramento e alertas (escopo OS-PARCELA-002); desenvolvimento de APIs de negócio (projetos futuros).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completo em </w:t>
      </w:r>
      <w:r>
        <w:rPr>
          <w:rFonts w:ascii="Courier New" w:hAnsi="Courier New"/>
          <w:b w:val="0"/>
          <w:i w:val="0"/>
          <w:color w:val="333333"/>
          <w:sz w:val="20"/>
        </w:rPr>
        <w:t>ADAP-GASMIG02-001_Registro-de-Adaptacao.md</w:t>
      </w:r>
      <w:r>
        <w:rPr>
          <w:rFonts w:ascii="Calibri" w:hAnsi="Calibri"/>
          <w:b w:val="0"/>
          <w:i w:val="0"/>
          <w:sz w:val="22"/>
        </w:rPr>
        <w:t>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infraestrutura/configuração cloud sem desenvolvimento de interface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de componentes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 nesta 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integração entre componentes de software desenvolvidos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de documentação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médio, escopo bem delimitado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acumula Tech Lead + Arquiteto +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viável dado o porte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marco (aceite único da 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sprints com entregas parciais ao cliente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e orçamento de horas (GPR 3, 4)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Nota:</w:t>
      </w:r>
      <w:r>
        <w:rPr>
          <w:rFonts w:ascii="Calibri" w:hAnsi="Calibri"/>
          <w:b w:val="0"/>
          <w:i w:val="0"/>
          <w:color w:val="1A5276"/>
          <w:sz w:val="22"/>
        </w:rPr>
        <w:t xml:space="preserve"> O valor comercial (UST) é definido pelo setor comercial da Timeware e não deriva diretamente das estimativas de story points. As estimativas abaixo sustentam o planejamento de capacidade e prazo da equipe técnica.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Tamanho estimado:</w:t>
      </w:r>
      <w:r>
        <w:rPr>
          <w:rFonts w:ascii="Calibri" w:hAnsi="Calibri"/>
          <w:b w:val="0"/>
          <w:i w:val="0"/>
          <w:sz w:val="22"/>
        </w:rPr>
        <w:t xml:space="preserve"> 84 story 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Points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Governança corporativa APIM (estrutura global, políticas, nomenclatura)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Controle de acesso / ciclo de vida de credenciais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Barreiras de segurança acesso interno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Barreiras de segurança acesso externo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— Ambiente de sandbox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 — Catálogo corporativo / portal do 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 — Workspace ArcelorMittal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Baixa-Média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 — Workspace Usiminas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Baixa-Média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— Rate limiting por workspace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 — Throttling por workspace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 — SSO SAML / Entra ID no portal APIM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 — IaC e versionamento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Documentação, verificação, revisão por pares e sessão de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84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de referência:</w:t>
      </w:r>
      <w:r>
        <w:rPr>
          <w:rFonts w:ascii="Calibri" w:hAnsi="Calibri"/>
          <w:b w:val="0"/>
          <w:i w:val="0"/>
          <w:sz w:val="22"/>
        </w:rPr>
        <w:t xml:space="preserve"> 56 SP/sprint (equipe de 2 engenheiros em regime integral + tech lead em dedicação parcial — base histórica de projetos de infraestrutura Azure Timeware)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Esforço/prazo estimado:</w:t>
      </w:r>
      <w:r>
        <w:rPr>
          <w:rFonts w:ascii="Calibri" w:hAnsi="Calibri"/>
          <w:b w:val="0"/>
          <w:i w:val="0"/>
          <w:sz w:val="22"/>
        </w:rPr>
        <w:t xml:space="preserve"> ~1,5 sprints / 15 dias corridos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 histórica utilizada:</w:t>
      </w:r>
      <w:r>
        <w:rPr>
          <w:rFonts w:ascii="Calibri" w:hAnsi="Calibri"/>
          <w:b w:val="0"/>
          <w:i w:val="0"/>
          <w:sz w:val="22"/>
        </w:rPr>
        <w:t xml:space="preserve"> Projetos internos de configuração Azure da Timeware (infraestrutura cloud); velocity organizacional de referência para equipe de porte equivalente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Orçamento de horas por papel: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Referência: 168 h/mês disponíveis por pessoa → ~140 h/mês efetivas (~70 h/sprint) após dedução de cerimônias e reuniões (~15%). Dedicação parcial proporcional.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Pessoas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 efetivas/sprint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Nº sprints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 estimadas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32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GCO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53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210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COO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306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— DE ACORDO formal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da equipe Timeware ao Azure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Semana 1 — Governança APIM, controle de acesso, barreiras de segurança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01/05–07/05/2026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Semana 2 — Sandbox, catálogo, workspaces, rate limiting, SSO, IaC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08/05–13/05/2026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(Cézar Hiraki) e preparação para aceite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apresentação e aceite com time técnico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~14/05/2026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OS-PARCELA-001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OS-PARCELA-002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aceite da OS-PARCELA-001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Detalhamento das atividades por semana: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Semana 1 (01/05–07/05):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Provisionamento da instância Azure API Management (modo externo + VNet)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da estrutura global de governança: produtos, grupos, nomenclatura, políticas globais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controle de acesso por usuário e políticas de ciclo de vida de credenciais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barreiras de segurança: políticas de IP para tráfego interno (rede GASMIG) e externo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Semana 2 (08/05–13/05):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Provisionamento e configuração do ambiente de sandbox (produto isolado + APIs de exemplo)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do portal do desenvolvedor (catálogo corporativo, exibição padronizada, acesso interno/externo diferenciado)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Criação e configuração dos workspaces ArcelorMittal e Usiminas (produtos, assinaturas, grupos)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políticas de rate limiting e throttling por workspace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do SSO via SAML / Entra ID no portal do desenvolvedor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Geração dos scripts IaC (Bicep/ARM) e armazenamento no Azure DevOps GASMIG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por pares (Cézar Hiraki) e preparação da sessão de aceite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Equipe: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(gestão e acompanhamento)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(decisões técnicas, revisão, configuração crítica)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(execução da configuração)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João Victor Cruz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(execução da configuração)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(auditorias de processo)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Ferramenta/Ambiente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Azure — Azure API Management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 principal de entrega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Entra ID (tenant GASMIG)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e autenticação corporativa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de scripts IaC (Bicep/ARM)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com o cliente (reuniões recorrentes semanais, quarta 14h)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corporativo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formal e registro de decisões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Villaça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executivo, aceite formal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semanal de status; presença na sessão de aceite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Eduardo Yasuda / José Geraldo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técnica da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semanal recorrente (quarta 14h via Teams); sessão de aceite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Murilo Morgado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sobre progresso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 nas comunicações formais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 técnica e 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interno; revisão técnica ao final da semana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 / João Cruz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interno; alinhamento contínuo com Cézar e Abraão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(GPR 8)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entrega desta OS </w:t>
      </w:r>
      <w:r>
        <w:rPr>
          <w:rFonts w:ascii="Calibri" w:hAnsi="Calibri"/>
          <w:b/>
          <w:i w:val="0"/>
          <w:sz w:val="22"/>
        </w:rPr>
        <w:t>é</w:t>
      </w:r>
      <w:r>
        <w:rPr>
          <w:rFonts w:ascii="Calibri" w:hAnsi="Calibri"/>
          <w:b w:val="0"/>
          <w:i w:val="0"/>
          <w:sz w:val="22"/>
        </w:rPr>
        <w:t xml:space="preserve"> a fundação — não há transição para um sistema legado. Ao final da OS-PARCELA-001, o ambiente Azure API Management configurado e operacional passa imediatamente ao controle da GASMIG (TI / Sérgio Villaça). A documentação técnica gerada (design, IaC, plano de V&amp;V) é entregue ao cliente como parte do pacote de aceite.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transição para a OS-PARCELA-002 ocorre automaticamente após o aceite formal desta 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demora a provisionar o acesso ao Azure, comprimindo o prazo de execução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Escalada imediata via Abraão → Sérgio Villaça; provisionar acesso como primeira ação; monitorar na virada do dia 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Tenant Entra ID da GASMIG tem restrições de licenciamento que impedem o SSO/SAML no portal APIM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pré-condições técnicas na semana 1; documentar como limitação do ambiente cliente se não viável; propor alternativa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Parâmetros de rede (IPs de whitelist, VNet, firewall) para barreiras interno/externo não fornecidos pela GASMIG a tempo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Solicitar formalmente por e-mail no dia 1; usar placeholder configurável e não bloquear demais entregas; ajustar quando recebido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Solicitação de mudança de escopo durante a execução dos 15 dias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Formalizar qualquer mudança via Change Request (TPL-GPR-006); esclarecer ao cliente que mudanças de escopo requerem revisão formal de prazo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tem políticas internas de nomenclatura de recursos Azure não comunicadas, gerando retrabalho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Solicitar policy de nomenclatura no dia 1; usar convenção Timeware como padrão aprovado até receber o contrário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Dificuldade de agenda para a sessão de aceite com o time técnico GASMIG dentro do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Agendar sessão de aceite com antecedência mínima de 5 dias úteis (até 07/05); confirmar presença de Eduardo Yasuda e José Geraldo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é viável dentro do escopo e prazo definidos, considerando: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equipe tem experiência comprovada em configuração Azure API Management (base das reuniões técnicas de pré-venda, jan–abr/2026)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escopo é bem delimitado e não envolve desenvolvimento de software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prazo de 15 dias é apertado mas atingível dado que (a) o discovery já foi concluído na pré-venda, (b) a equipe está dedicada e (c) não há dependências externas além do acesso Azure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principais riscos (R-01, R-03) são mitigáveis por comunicação proativa com a GASMIG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Viabilidade condicionada à provisão oportuna de acesso Azure pela GASMIG (risco R-01).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plano é apresentado ao cliente na sessão de kickoff / comunicação formal de 29/04/2026 e entra em baseline com o DE ACORDO do Sérgio Villaça nesta mesma data.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GASMIG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(via e-mail — DE ACORDO)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29/04/2026 15:45 — ATA-GASMIG02-001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ATA-GASMIG02-001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aprovação registrada acima estabelece a </w:t>
      </w:r>
      <w:r>
        <w:rPr>
          <w:rFonts w:ascii="Calibri" w:hAnsi="Calibri"/>
          <w:b/>
          <w:i w:val="0"/>
          <w:color w:val="1A5276"/>
          <w:sz w:val="22"/>
        </w:rPr>
        <w:t>baseline</w:t>
      </w:r>
      <w:r>
        <w:rPr>
          <w:rFonts w:ascii="Calibri" w:hAnsi="Calibri"/>
          <w:b w:val="0"/>
          <w:i w:val="0"/>
          <w:color w:val="1A5276"/>
          <w:sz w:val="22"/>
        </w:rPr>
        <w:t xml:space="preserve"> do projeto. A partir dela, mudanças de escopo seguem o fluxo de change request (TPL-GPR-006).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baseline aprovada no kickoff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do papel de GQA como COO (Operações) no §6, conforme designação realizada antes da primeira auditoria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Acréscimo da tabela de orçamento de horas por papel em §4 (GPR 4) — 306 h totais estimadas; título do §4 atualizado para refletir GPR 3 e GPR 4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PLA-GASMIG02-001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