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MATRIZ DE RASTREABILIDADE — FUNDAÇÃO TECNOLÓGICA GASMIG · OS-PARCELA-001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RASTR-GASMIG02-001   ·   Versão Data   ·   29/04/2026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RASTR-GASMIG02-001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Matriz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Necessidade do cliente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design (PCP-GASMIG02-001)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configuração (entregável Azure)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Caso de teste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Governança centralizada de APIs em padrão corporativo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globais APIM; Named values; Policy fragments; Estrutura de produtos e grupos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APIM instance + políticas globais + estrutura de produtos configurada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CT-01, CT-03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Controle de acesso com expiração de credenciais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de TTL de subscription keys; grupos de usuários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Subscription keys com TTL configurado; fluxo de renovação documentado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CT-05, CT-06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Segurança de acesso interno (rede GASMIG)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Política de restrição de IP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prod-gasmig-interno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IP restriction no produto interno com IPs da rede GASMIG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CT-03, CT-04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Segurança de acesso externo (parceiros e clientes)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Política de validação de credenciais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prod-gasmig-externo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segurança no produto externo; restrições para parceiros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CT-05, CT-06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sandbox para testes pré-produção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Produto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prod-gasmig-sandbox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APIs de exemplo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Produto sandbox provisionado; APIs de exemplo publicadas; isolamento produtivo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CT-13, CT-14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Catálogo corporativo de APIs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Portal do desenvolvedor configurado — layout GASMIG; visibilidade por grupo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Portal ativo com catálogo; acesso diferenciado por perfil (interno/externo)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CT-01, CT-02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 dedicado ArcelorMittal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ws-arcelormittal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produtos, assinaturas e políticas isoladas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 ArcelorMittal criado e configurado no APIM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CT-07, CT-09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 dedicado Usiminas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ws-usiminas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produtos, assinaturas e políticas isoladas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Workspace Usiminas criado e configurado no APIM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CT-08, CT-09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Rate limiting por workspace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Named values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nv-ratelimit-*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policy fragment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pf-ratelimit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de rate limit ativas por workspace com named values configurados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CT-10, CT-11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Throttling por workspace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Named values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nv-throttle-*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policy fragment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pf-throttle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de throttle ativas por workspace com named values configurados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Conformidade com boas práticas Microsoft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auditável vs. Azure Well-Architected Framework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Checklist de conformidade preenchido e anexado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 (checklist)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Plataforma 100% Azure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componentes no Azure tenant GASMIG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recursos em subscription Azure GASMIG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 (verificação)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SSO / login automático via Entra ID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Entra ID SAML 2.0 integrado ao portal do desenvolvedor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Provedor de identidade Entra ID configurado no portal APIM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CT-01, CT-02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Plataforma escalável para novas APIs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parametrizáveis; workspaces independentes; policy fragments modulares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Arquitetura documentada; adição de novo workspace validada sem impacto nas políticas globais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 (revisão de design)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rastreável e versionada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Bicep/ARM exportados e versionados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IaC no Azure DevOps GASMIG com histórico de commits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 (revisão por pares)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Pendente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Cobertura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Requisitos sem cobertura de teste:</w:t>
      </w:r>
      <w:r>
        <w:rPr>
          <w:rFonts w:ascii="Calibri" w:hAnsi="Calibri"/>
          <w:b w:val="0"/>
          <w:i w:val="0"/>
          <w:sz w:val="22"/>
        </w:rPr>
        <w:t xml:space="preserve"> RNF-01, RNF-02, RNF-04, RNF-05 — cobertos por checklist e revisão por pares em vez de casos de teste automatizados (natureza de configuração/documentação)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Itens configurados sem requisito associado:</w:t>
      </w:r>
      <w:r>
        <w:rPr>
          <w:rFonts w:ascii="Calibri" w:hAnsi="Calibri"/>
          <w:b w:val="0"/>
          <w:i w:val="0"/>
          <w:sz w:val="22"/>
        </w:rPr>
        <w:t xml:space="preserve"> nenhum — toda a configuração deriva dos requisitos listados acima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Casos de teste cobertos:</w:t>
      </w:r>
      <w:r>
        <w:rPr>
          <w:rFonts w:ascii="Calibri" w:hAnsi="Calibri"/>
          <w:b w:val="0"/>
          <w:i w:val="0"/>
          <w:sz w:val="22"/>
        </w:rPr>
        <w:t xml:space="preserve"> CT-01 a CT-14 (14 casos) — cobertura de todos os RF e dos RNF testáveis funcionalmente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Lacunas identificadas:</w:t>
      </w:r>
      <w:r>
        <w:rPr>
          <w:rFonts w:ascii="Calibri" w:hAnsi="Calibri"/>
          <w:b w:val="0"/>
          <w:i w:val="0"/>
          <w:sz w:val="22"/>
        </w:rPr>
        <w:t xml:space="preserve"> os parâmetros exatos de rate limiting e throttling (thresholds numéricos) e os IPs da rede interna GASMIG serão obtidos durante a execução e registrados nos named values correspondentes; os casos de teste CT-03/CT-04 e CT-10/CT-11/CT-12 dependem desses valores para execução precisa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rastreabilidade completa dos requisitos da OS-PARCELA-001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29/04/2026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29/04/2026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RASTR-GASMIG02-001</w:t>
    </w:r>
    <w:r>
      <w:tab/>
    </w:r>
    <w:r>
      <w:rPr>
        <w:rFonts w:ascii="Calibri" w:hAnsi="Calibri"/>
        <w:color w:val="555555"/>
        <w:sz w:val="18"/>
      </w:rPr>
      <w:t>Engenharia de Requisitos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