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REG-CAP-011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REG-CAP-011   ·   Versão 1.0   ·   16/03/2026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16/03/2026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§5; MAT-CAP-023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16/03/2026 e 18/03/2026 (duas sessões)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13:00 (cada sessão)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Flávio Fernandes (Azure Solutions Architect — AZ-305 / AZ-400)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MAT-CAP-023 §3 (módulo Azure); documentação Microsoft Learn (Azure API Management, Key Vault, Entra ID)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Workshop técnico de aprofundamento (competência técnica específica)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Motivação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Preparação técnica da equipe para projetos de governança de APIs em Azure (capacitação prévia ao projeto Fundação Tecnológica GASMIG)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Azure API Management (APIM):</w:t>
      </w:r>
      <w:r>
        <w:rPr>
          <w:rFonts w:ascii="Calibri" w:hAnsi="Calibri"/>
          <w:b w:val="0"/>
          <w:i w:val="0"/>
          <w:sz w:val="22"/>
        </w:rPr>
        <w:t xml:space="preserve"> arquitetura do gateway, produtos, APIs, versionamento (Versions/Revisions), políticas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Segurança:</w:t>
      </w:r>
      <w:r>
        <w:rPr>
          <w:rFonts w:ascii="Calibri" w:hAnsi="Calibri"/>
          <w:b w:val="0"/>
          <w:i w:val="0"/>
          <w:sz w:val="22"/>
        </w:rPr>
        <w:t xml:space="preserve"> Azure Key Vault e Named Values (sem segredos hard-coded); OAuth 2.0 com Microsoft Entra ID; política </w:t>
      </w:r>
      <w:r>
        <w:rPr>
          <w:rFonts w:ascii="Courier New" w:hAnsi="Courier New"/>
          <w:b w:val="0"/>
          <w:i w:val="0"/>
          <w:color w:val="333333"/>
          <w:sz w:val="20"/>
        </w:rPr>
        <w:t>validate-jwt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Observabilidade:</w:t>
      </w:r>
      <w:r>
        <w:rPr>
          <w:rFonts w:ascii="Calibri" w:hAnsi="Calibri"/>
          <w:b w:val="0"/>
          <w:i w:val="0"/>
          <w:sz w:val="22"/>
        </w:rPr>
        <w:t xml:space="preserve"> Application Insights, Azure Monitor, dashboards, regras de alerta e Action Groups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Políticas de gateway:</w:t>
      </w:r>
      <w:r>
        <w:rPr>
          <w:rFonts w:ascii="Calibri" w:hAnsi="Calibri"/>
          <w:b w:val="0"/>
          <w:i w:val="0"/>
          <w:sz w:val="22"/>
        </w:rPr>
        <w:t xml:space="preserve"> CORS, </w:t>
      </w:r>
      <w:r>
        <w:rPr>
          <w:rFonts w:ascii="Courier New" w:hAnsi="Courier New"/>
          <w:b w:val="0"/>
          <w:i w:val="0"/>
          <w:color w:val="333333"/>
          <w:sz w:val="20"/>
        </w:rPr>
        <w:t>validate-content</w:t>
      </w:r>
      <w:r>
        <w:rPr>
          <w:rFonts w:ascii="Calibri" w:hAnsi="Calibri"/>
          <w:b w:val="0"/>
          <w:i w:val="0"/>
          <w:sz w:val="22"/>
        </w:rPr>
        <w:t>, rate limiting, deprecation headers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IaC:</w:t>
      </w:r>
      <w:r>
        <w:rPr>
          <w:rFonts w:ascii="Calibri" w:hAnsi="Calibri"/>
          <w:b w:val="0"/>
          <w:i w:val="0"/>
          <w:sz w:val="22"/>
        </w:rPr>
        <w:t xml:space="preserve"> export de configuração como Bicep/ARM; versionamento no Azure DevOps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prática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(Velázquez)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Configurou APIM de laboratório com produto, API e 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validate-jwt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Configurou Named Values via Key Vault em ambiente de laboratório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Configurou política CORS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validate-content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API de laboratório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Cunha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Exportou configuração como Bicep e versionou no Azure DevOps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Configurou dashboard no Application Insights e regra de alerta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Workshop técnico conduzido por Flávio Fernandes (Azure Solutions Architect Expert, certificações AZ-104/AZ-305/AZ-400), aproveitando competência técnica interna de alto nível. Capacitação prévia que habilitou a equipe a executar o projeto de governança de APIs da GASMIG (OS-001 e OS-002). Todos os participantes concluíram os exercícios práticos em ambiente de laboratório Azure. Sem pendências.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18/03/2026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18/03/2026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 workshop técnico de Azure API Management (preparação para projetos de governança de APIs)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16/03/2026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16/03/2026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REG-CAP-011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