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PROCESSO DE VERIFICAÇÃO E VALIDAÇÃO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PRO-VV-001   ·   Versão 1.3   ·   16/01/2026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PRO-VV-001 — Processo de Verificação e Validação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16/01/2026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Organização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Timeware Brasil Softwares e Serviços LTDA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Aprovação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COO (Operações)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Caroline Jenifer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Nota de auditoria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Para a correspondência deste documento com o modelo de referência, ver a seção final "Rastreabilidade e instrução para auditoria".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Classificação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Ativo de processo organizacional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Propósito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Este processo define como a Timeware verifica e valida seus produtos de software, assegurando que sejam construídos corretamente (verificação) e que atendam às necessidades do cliente (validação), por meio de testes e revisão por pares.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Conceitos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Verificação:</w:t>
      </w:r>
      <w:r>
        <w:rPr>
          <w:rFonts w:ascii="Calibri" w:hAnsi="Calibri"/>
          <w:b w:val="0"/>
          <w:i w:val="0"/>
          <w:sz w:val="22"/>
        </w:rPr>
        <w:t xml:space="preserve"> o produto está sendo construído </w:t>
      </w:r>
      <w:r>
        <w:rPr>
          <w:rFonts w:ascii="Calibri" w:hAnsi="Calibri"/>
          <w:b/>
          <w:i w:val="0"/>
          <w:sz w:val="22"/>
        </w:rPr>
        <w:t>corretamente</w:t>
      </w:r>
      <w:r>
        <w:rPr>
          <w:rFonts w:ascii="Calibri" w:hAnsi="Calibri"/>
          <w:b w:val="0"/>
          <w:i w:val="0"/>
          <w:sz w:val="22"/>
        </w:rPr>
        <w:t>, conforme requisitos e padrões (testes, revisão por pares).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Validação:</w:t>
      </w:r>
      <w:r>
        <w:rPr>
          <w:rFonts w:ascii="Calibri" w:hAnsi="Calibri"/>
          <w:b w:val="0"/>
          <w:i w:val="0"/>
          <w:sz w:val="22"/>
        </w:rPr>
        <w:t xml:space="preserve"> o produto </w:t>
      </w:r>
      <w:r>
        <w:rPr>
          <w:rFonts w:ascii="Calibri" w:hAnsi="Calibri"/>
          <w:b/>
          <w:i w:val="0"/>
          <w:sz w:val="22"/>
        </w:rPr>
        <w:t>atende à necessidade real</w:t>
      </w:r>
      <w:r>
        <w:rPr>
          <w:rFonts w:ascii="Calibri" w:hAnsi="Calibri"/>
          <w:b w:val="0"/>
          <w:i w:val="0"/>
          <w:sz w:val="22"/>
        </w:rPr>
        <w:t xml:space="preserve"> do cliente (validação de requisitos, homologação com o cliente).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3. Seleção e planejamento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Para cada projeto, define-se </w:t>
      </w:r>
      <w:r>
        <w:rPr>
          <w:rFonts w:ascii="Calibri" w:hAnsi="Calibri"/>
          <w:b/>
          <w:i w:val="0"/>
          <w:sz w:val="22"/>
        </w:rPr>
        <w:t>o que</w:t>
      </w:r>
      <w:r>
        <w:rPr>
          <w:rFonts w:ascii="Calibri" w:hAnsi="Calibri"/>
          <w:b w:val="0"/>
          <w:i w:val="0"/>
          <w:sz w:val="22"/>
        </w:rPr>
        <w:t xml:space="preserve"> será verificado e validado e por </w:t>
      </w:r>
      <w:r>
        <w:rPr>
          <w:rFonts w:ascii="Calibri" w:hAnsi="Calibri"/>
          <w:b/>
          <w:i w:val="0"/>
          <w:sz w:val="22"/>
        </w:rPr>
        <w:t>quais métodos</w:t>
      </w:r>
      <w:r>
        <w:rPr>
          <w:rFonts w:ascii="Calibri" w:hAnsi="Calibri"/>
          <w:b w:val="0"/>
          <w:i w:val="0"/>
          <w:sz w:val="22"/>
        </w:rPr>
        <w:t xml:space="preserve">, registrado no </w:t>
      </w:r>
      <w:r>
        <w:rPr>
          <w:rFonts w:ascii="Calibri" w:hAnsi="Calibri"/>
          <w:b/>
          <w:i w:val="0"/>
          <w:sz w:val="22"/>
        </w:rPr>
        <w:t>Plano de V&amp;V</w:t>
      </w:r>
      <w:r>
        <w:rPr>
          <w:rFonts w:ascii="Calibri" w:hAnsi="Calibri"/>
          <w:b w:val="0"/>
          <w:i w:val="0"/>
          <w:sz w:val="22"/>
        </w:rPr>
        <w:t xml:space="preserve"> (TPL-VV-001).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métodos combinam, no mínimo: </w:t>
      </w:r>
      <w:r>
        <w:rPr>
          <w:rFonts w:ascii="Calibri" w:hAnsi="Calibri"/>
          <w:b/>
          <w:i w:val="0"/>
          <w:sz w:val="22"/>
        </w:rPr>
        <w:t>testes</w:t>
      </w:r>
      <w:r>
        <w:rPr>
          <w:rFonts w:ascii="Calibri" w:hAnsi="Calibri"/>
          <w:b w:val="0"/>
          <w:i w:val="0"/>
          <w:sz w:val="22"/>
        </w:rPr>
        <w:t xml:space="preserve"> (executados por QA e desenvolvimento) e </w:t>
      </w:r>
      <w:r>
        <w:rPr>
          <w:rFonts w:ascii="Calibri" w:hAnsi="Calibri"/>
          <w:b/>
          <w:i w:val="0"/>
          <w:sz w:val="22"/>
        </w:rPr>
        <w:t>revisão por pares</w:t>
      </w:r>
      <w:r>
        <w:rPr>
          <w:rFonts w:ascii="Calibri" w:hAnsi="Calibri"/>
          <w:b w:val="0"/>
          <w:i w:val="0"/>
          <w:sz w:val="22"/>
        </w:rPr>
        <w:t xml:space="preserve"> (code review).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Revisão por pares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código passa por </w:t>
      </w:r>
      <w:r>
        <w:rPr>
          <w:rFonts w:ascii="Calibri" w:hAnsi="Calibri"/>
          <w:b/>
          <w:i w:val="0"/>
          <w:sz w:val="22"/>
        </w:rPr>
        <w:t>revisão por pares (code review)</w:t>
      </w:r>
      <w:r>
        <w:rPr>
          <w:rFonts w:ascii="Calibri" w:hAnsi="Calibri"/>
          <w:b w:val="0"/>
          <w:i w:val="0"/>
          <w:sz w:val="22"/>
        </w:rPr>
        <w:t xml:space="preserve"> antes do merge, via Pull Request (Git/Azure DevOps), conforme a Definição de Pronto e a Gerência de Configuração (PLA-GCO-001).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A revisão verifica aderência aos padrões, aos requisitos e à qualidade técnica; os apontamentos são tratados antes da aprovação.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O registro da revisão é o próprio Pull Request (revisores, comentários, aprovação) e/ou o template TPL-VV-002.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Métodos, critérios e ambientes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Desenvolvimento:</w:t>
      </w:r>
      <w:r>
        <w:rPr>
          <w:rFonts w:ascii="Calibri" w:hAnsi="Calibri"/>
          <w:b w:val="0"/>
          <w:i w:val="0"/>
          <w:sz w:val="22"/>
        </w:rPr>
        <w:t xml:space="preserve"> o desenvolvedor testa o que produziu conforme os </w:t>
      </w:r>
      <w:r>
        <w:rPr>
          <w:rFonts w:ascii="Calibri" w:hAnsi="Calibri"/>
          <w:b/>
          <w:i w:val="0"/>
          <w:sz w:val="22"/>
        </w:rPr>
        <w:t>critérios de aceite</w:t>
      </w:r>
      <w:r>
        <w:rPr>
          <w:rFonts w:ascii="Calibri" w:hAnsi="Calibri"/>
          <w:b w:val="0"/>
          <w:i w:val="0"/>
          <w:sz w:val="22"/>
        </w:rPr>
        <w:t xml:space="preserve"> definidos.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QA:</w:t>
      </w:r>
      <w:r>
        <w:rPr>
          <w:rFonts w:ascii="Calibri" w:hAnsi="Calibri"/>
          <w:b w:val="0"/>
          <w:i w:val="0"/>
          <w:sz w:val="22"/>
        </w:rPr>
        <w:t xml:space="preserve"> aplica metodologias de teste sobre o produto (teste exploratório guiado pelos requisitos, testes funcionais, de integração e outros aplicáveis), documentando os cenários com evidências e formalizando-os em </w:t>
      </w:r>
      <w:r>
        <w:rPr>
          <w:rFonts w:ascii="Calibri" w:hAnsi="Calibri"/>
          <w:b/>
          <w:i w:val="0"/>
          <w:sz w:val="22"/>
        </w:rPr>
        <w:t>Gherkin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Dado/Quando/Então</w:t>
      </w:r>
      <w:r>
        <w:rPr>
          <w:rFonts w:ascii="Calibri" w:hAnsi="Calibri"/>
          <w:b w:val="0"/>
          <w:i w:val="0"/>
          <w:sz w:val="22"/>
        </w:rPr>
        <w:t>) para reúso e eventual automação.</w:t>
      </w:r>
    </w:p>
    <w:p>
      <w:pPr>
        <w:pStyle w:val="ListBullet"/>
        <w:spacing w:before="20" w:after="40"/>
      </w:pPr>
      <w:r>
        <w:rPr>
          <w:rFonts w:ascii="Calibri" w:hAnsi="Calibri"/>
          <w:b/>
          <w:i w:val="0"/>
          <w:sz w:val="22"/>
        </w:rPr>
        <w:t>Ferramentas e ambientes:</w:t>
      </w:r>
      <w:r>
        <w:rPr>
          <w:rFonts w:ascii="Calibri" w:hAnsi="Calibri"/>
          <w:b w:val="0"/>
          <w:i w:val="0"/>
          <w:sz w:val="22"/>
        </w:rPr>
        <w:t xml:space="preserve"> os casos e resultados de teste são mantidos em </w:t>
      </w:r>
      <w:r>
        <w:rPr>
          <w:rFonts w:ascii="Calibri" w:hAnsi="Calibri"/>
          <w:b/>
          <w:i w:val="0"/>
          <w:sz w:val="22"/>
        </w:rPr>
        <w:t>Azure Test Plans</w:t>
      </w:r>
      <w:r>
        <w:rPr>
          <w:rFonts w:ascii="Calibri" w:hAnsi="Calibri"/>
          <w:b w:val="0"/>
          <w:i w:val="0"/>
          <w:sz w:val="22"/>
        </w:rPr>
        <w:t xml:space="preserve"> e/ou </w:t>
      </w:r>
      <w:r>
        <w:rPr>
          <w:rFonts w:ascii="Calibri" w:hAnsi="Calibri"/>
          <w:b/>
          <w:i w:val="0"/>
          <w:sz w:val="22"/>
        </w:rPr>
        <w:t>Jira/Xray</w:t>
      </w:r>
      <w:r>
        <w:rPr>
          <w:rFonts w:ascii="Calibri" w:hAnsi="Calibri"/>
          <w:b w:val="0"/>
          <w:i w:val="0"/>
          <w:sz w:val="22"/>
        </w:rPr>
        <w:t>. Os casos podem iniciar em planilha e ser importados para a ferramenta — fluxo aceito e documentado.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QA atua em ambiente dedicado e a validação ocorre em </w:t>
      </w:r>
      <w:r>
        <w:rPr>
          <w:rFonts w:ascii="Calibri" w:hAnsi="Calibri"/>
          <w:b/>
          <w:i w:val="0"/>
          <w:sz w:val="22"/>
        </w:rPr>
        <w:t>homologação</w:t>
      </w:r>
      <w:r>
        <w:rPr>
          <w:rFonts w:ascii="Calibri" w:hAnsi="Calibri"/>
          <w:b w:val="0"/>
          <w:i w:val="0"/>
          <w:sz w:val="22"/>
        </w:rPr>
        <w:t xml:space="preserve">; a validação final com o cliente ocorre em </w:t>
      </w:r>
      <w:r>
        <w:rPr>
          <w:rFonts w:ascii="Calibri" w:hAnsi="Calibri"/>
          <w:b/>
          <w:i w:val="0"/>
          <w:sz w:val="22"/>
        </w:rPr>
        <w:t>stage</w:t>
      </w:r>
      <w:r>
        <w:rPr>
          <w:rFonts w:ascii="Calibri" w:hAnsi="Calibri"/>
          <w:b w:val="0"/>
          <w:i w:val="0"/>
          <w:sz w:val="22"/>
        </w:rPr>
        <w:t xml:space="preserve"> (réplica de produção), quando esse ambiente existe. A definição dos ambientes consta do Processo-Padrão (PRO-GPC-001).</w:t>
      </w:r>
    </w:p>
    <w:p>
      <w:pPr>
        <w:pStyle w:val="Heading2"/>
        <w:keepNext/>
        <w:keepLines/>
      </w:pPr>
      <w:r>
        <w:t>5.1. Critério para elaboração de mapa de teste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Nem toda história exige um </w:t>
      </w:r>
      <w:r>
        <w:rPr>
          <w:rFonts w:ascii="Calibri" w:hAnsi="Calibri"/>
          <w:b/>
          <w:i w:val="0"/>
          <w:sz w:val="22"/>
        </w:rPr>
        <w:t>mapa de teste</w:t>
      </w:r>
      <w:r>
        <w:rPr>
          <w:rFonts w:ascii="Calibri" w:hAnsi="Calibri"/>
          <w:b w:val="0"/>
          <w:i w:val="0"/>
          <w:sz w:val="22"/>
        </w:rPr>
        <w:t xml:space="preserve"> (conjunto estruturado de cenários). O esforço de documentação é proporcional à complexidade do item: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Situação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Mapa de teste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Alteração simples que não altera o fluxo (ex.: inclusão de um campo)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Não exigido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Exigido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Tela ou funcionalidade elaborada (ex.: cadastro com campos obrigatórios e opcionais, múltiplos caminhos)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Exigido (cenários de preenchimento e validação)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Exigido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A decisão de elaborar ou não o mapa de teste segue esta orientação e é registrada na própria história/teste. O critério existe para garantir consistência sem impor documentação desnecessária a itens triviais.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Teste em itens não testáveis de forma real:</w:t>
      </w:r>
      <w:r>
        <w:rPr>
          <w:rFonts w:ascii="Calibri" w:hAnsi="Calibri"/>
          <w:b w:val="0"/>
          <w:i w:val="0"/>
          <w:sz w:val="22"/>
        </w:rPr>
        <w:t xml:space="preserve"> quando não é possível executar um teste real sobre o item (por exemplo, determinadas integrações), </w:t>
      </w:r>
      <w:r>
        <w:rPr>
          <w:rFonts w:ascii="Calibri" w:hAnsi="Calibri"/>
          <w:b/>
          <w:i w:val="0"/>
          <w:sz w:val="22"/>
        </w:rPr>
        <w:t>não se realiza teste simulado (mocado) como substituto</w:t>
      </w:r>
      <w:r>
        <w:rPr>
          <w:rFonts w:ascii="Calibri" w:hAnsi="Calibri"/>
          <w:b w:val="0"/>
          <w:i w:val="0"/>
          <w:sz w:val="22"/>
        </w:rPr>
        <w:t xml:space="preserve"> — um teste mocado não constitui evidência de teste. Nesses casos, a limitação é registrada e a verificação se dá pelos meios aplicáveis (revisão, validação indireta).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6. Execução e tratamento de problemas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As atividades de verificação e validação são </w:t>
      </w:r>
      <w:r>
        <w:rPr>
          <w:rFonts w:ascii="Calibri" w:hAnsi="Calibri"/>
          <w:b/>
          <w:i w:val="0"/>
          <w:sz w:val="22"/>
        </w:rPr>
        <w:t>executadas</w:t>
      </w:r>
      <w:r>
        <w:rPr>
          <w:rFonts w:ascii="Calibri" w:hAnsi="Calibri"/>
          <w:b w:val="0"/>
          <w:i w:val="0"/>
          <w:sz w:val="22"/>
        </w:rPr>
        <w:t xml:space="preserve"> conforme o plano. O fluxo de teste conduzido pelo QA é: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Recebimento da demanda:</w:t>
      </w:r>
      <w:r>
        <w:rPr>
          <w:rFonts w:ascii="Calibri" w:hAnsi="Calibri"/>
          <w:b w:val="0"/>
          <w:i w:val="0"/>
          <w:sz w:val="22"/>
        </w:rPr>
        <w:t xml:space="preserve"> o QA recebe a task já disponibilizada no ambiente de </w:t>
      </w:r>
      <w:r>
        <w:rPr>
          <w:rFonts w:ascii="Calibri" w:hAnsi="Calibri"/>
          <w:b/>
          <w:i w:val="0"/>
          <w:sz w:val="22"/>
        </w:rPr>
        <w:t>homologação</w:t>
      </w:r>
      <w:r>
        <w:rPr>
          <w:rFonts w:ascii="Calibri" w:hAnsi="Calibri"/>
          <w:b w:val="0"/>
          <w:i w:val="0"/>
          <w:sz w:val="22"/>
        </w:rPr>
        <w:t>, com os critérios de aceite e o escopo definidos.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Teste exploratório guiado pelos requisitos:</w:t>
      </w:r>
      <w:r>
        <w:rPr>
          <w:rFonts w:ascii="Calibri" w:hAnsi="Calibri"/>
          <w:b w:val="0"/>
          <w:i w:val="0"/>
          <w:sz w:val="22"/>
        </w:rPr>
        <w:t xml:space="preserve"> o QA testa a funcionalidade de forma exploratória, orientado pelos requisitos e critérios de aceite.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Documentação dos cenários e evidências:</w:t>
      </w:r>
      <w:r>
        <w:rPr>
          <w:rFonts w:ascii="Calibri" w:hAnsi="Calibri"/>
          <w:b w:val="0"/>
          <w:i w:val="0"/>
          <w:sz w:val="22"/>
        </w:rPr>
        <w:t xml:space="preserve"> os cenários testados são documentados, com as respectivas </w:t>
      </w:r>
      <w:r>
        <w:rPr>
          <w:rFonts w:ascii="Calibri" w:hAnsi="Calibri"/>
          <w:b/>
          <w:i w:val="0"/>
          <w:sz w:val="22"/>
        </w:rPr>
        <w:t>evidências</w:t>
      </w:r>
      <w:r>
        <w:rPr>
          <w:rFonts w:ascii="Calibri" w:hAnsi="Calibri"/>
          <w:b w:val="0"/>
          <w:i w:val="0"/>
          <w:sz w:val="22"/>
        </w:rPr>
        <w:t xml:space="preserve"> (capturas de tela, vídeos, logs).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Aprovação:</w:t>
      </w:r>
      <w:r>
        <w:rPr>
          <w:rFonts w:ascii="Calibri" w:hAnsi="Calibri"/>
          <w:b w:val="0"/>
          <w:i w:val="0"/>
          <w:sz w:val="22"/>
        </w:rPr>
        <w:t xml:space="preserve"> atendidos os critérios, a task é aprovada.</w:t>
      </w:r>
    </w:p>
    <w:p>
      <w:pPr>
        <w:pStyle w:val="ListNumber"/>
        <w:spacing w:before="20" w:after="40"/>
      </w:pPr>
      <w:r>
        <w:rPr>
          <w:rFonts w:ascii="Calibri" w:hAnsi="Calibri"/>
          <w:b/>
          <w:i w:val="0"/>
          <w:sz w:val="22"/>
        </w:rPr>
        <w:t>Formalização em Gherkin:</w:t>
      </w:r>
      <w:r>
        <w:rPr>
          <w:rFonts w:ascii="Calibri" w:hAnsi="Calibri"/>
          <w:b w:val="0"/>
          <w:i w:val="0"/>
          <w:sz w:val="22"/>
        </w:rPr>
        <w:t xml:space="preserve"> os cenários são formalizados em </w:t>
      </w:r>
      <w:r>
        <w:rPr>
          <w:rFonts w:ascii="Calibri" w:hAnsi="Calibri"/>
          <w:b/>
          <w:i w:val="0"/>
          <w:sz w:val="22"/>
        </w:rPr>
        <w:t>Gherkin</w:t>
      </w:r>
      <w:r>
        <w:rPr>
          <w:rFonts w:ascii="Calibri" w:hAnsi="Calibri"/>
          <w:b w:val="0"/>
          <w:i w:val="0"/>
          <w:sz w:val="22"/>
        </w:rPr>
        <w:t xml:space="preserve"> (</w:t>
      </w:r>
      <w:r>
        <w:rPr>
          <w:rFonts w:ascii="Courier New" w:hAnsi="Courier New"/>
          <w:b w:val="0"/>
          <w:i w:val="0"/>
          <w:color w:val="333333"/>
          <w:sz w:val="20"/>
        </w:rPr>
        <w:t>Dado / Quando / Então</w:t>
      </w:r>
      <w:r>
        <w:rPr>
          <w:rFonts w:ascii="Calibri" w:hAnsi="Calibri"/>
          <w:b w:val="0"/>
          <w:i w:val="0"/>
          <w:sz w:val="22"/>
        </w:rPr>
        <w:t>), contemplando o caminho de sucesso (</w:t>
      </w:r>
      <w:r>
        <w:rPr>
          <w:rFonts w:ascii="Calibri" w:hAnsi="Calibri"/>
          <w:b w:val="0"/>
          <w:i/>
          <w:sz w:val="22"/>
        </w:rPr>
        <w:t>happy path</w:t>
      </w:r>
      <w:r>
        <w:rPr>
          <w:rFonts w:ascii="Calibri" w:hAnsi="Calibri"/>
          <w:b w:val="0"/>
          <w:i w:val="0"/>
          <w:sz w:val="22"/>
        </w:rPr>
        <w:t>) e os de exceção (</w:t>
      </w:r>
      <w:r>
        <w:rPr>
          <w:rFonts w:ascii="Calibri" w:hAnsi="Calibri"/>
          <w:b w:val="0"/>
          <w:i/>
          <w:sz w:val="22"/>
        </w:rPr>
        <w:t>sad path</w:t>
      </w:r>
      <w:r>
        <w:rPr>
          <w:rFonts w:ascii="Calibri" w:hAnsi="Calibri"/>
          <w:b w:val="0"/>
          <w:i w:val="0"/>
          <w:sz w:val="22"/>
        </w:rPr>
        <w:t xml:space="preserve">). Esses cenários ficam prontos para as </w:t>
      </w:r>
      <w:r>
        <w:rPr>
          <w:rFonts w:ascii="Calibri" w:hAnsi="Calibri"/>
          <w:b/>
          <w:i w:val="0"/>
          <w:sz w:val="22"/>
        </w:rPr>
        <w:t>rodadas futuras de teste (regressão)</w:t>
      </w:r>
      <w:r>
        <w:rPr>
          <w:rFonts w:ascii="Calibri" w:hAnsi="Calibri"/>
          <w:b w:val="0"/>
          <w:i w:val="0"/>
          <w:sz w:val="22"/>
        </w:rPr>
        <w:t xml:space="preserve"> e para </w:t>
      </w:r>
      <w:r>
        <w:rPr>
          <w:rFonts w:ascii="Calibri" w:hAnsi="Calibri"/>
          <w:b/>
          <w:i w:val="0"/>
          <w:sz w:val="22"/>
        </w:rPr>
        <w:t>automação</w:t>
      </w:r>
      <w:r>
        <w:rPr>
          <w:rFonts w:ascii="Calibri" w:hAnsi="Calibri"/>
          <w:b w:val="0"/>
          <w:i w:val="0"/>
          <w:sz w:val="22"/>
        </w:rPr>
        <w:t>, quando a equipe decidir automatizá-los.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Os </w:t>
      </w:r>
      <w:r>
        <w:rPr>
          <w:rFonts w:ascii="Calibri" w:hAnsi="Calibri"/>
          <w:b/>
          <w:i w:val="0"/>
          <w:sz w:val="22"/>
        </w:rPr>
        <w:t>defeitos</w:t>
      </w:r>
      <w:r>
        <w:rPr>
          <w:rFonts w:ascii="Calibri" w:hAnsi="Calibri"/>
          <w:b w:val="0"/>
          <w:i w:val="0"/>
          <w:sz w:val="22"/>
        </w:rPr>
        <w:t xml:space="preserve"> identificados são registrados (Jira/Xray), priorizados e </w:t>
      </w:r>
      <w:r>
        <w:rPr>
          <w:rFonts w:ascii="Calibri" w:hAnsi="Calibri"/>
          <w:b/>
          <w:i w:val="0"/>
          <w:sz w:val="22"/>
        </w:rPr>
        <w:t>tratados</w:t>
      </w:r>
      <w:r>
        <w:rPr>
          <w:rFonts w:ascii="Calibri" w:hAnsi="Calibri"/>
          <w:b w:val="0"/>
          <w:i w:val="0"/>
          <w:sz w:val="22"/>
        </w:rPr>
        <w:t xml:space="preserve"> até a resolução. A validação final com o cliente ocorre em </w:t>
      </w:r>
      <w:r>
        <w:rPr>
          <w:rFonts w:ascii="Calibri" w:hAnsi="Calibri"/>
          <w:b/>
          <w:i w:val="0"/>
          <w:sz w:val="22"/>
        </w:rPr>
        <w:t>stage</w:t>
      </w:r>
      <w:r>
        <w:rPr>
          <w:rFonts w:ascii="Calibri" w:hAnsi="Calibri"/>
          <w:b w:val="0"/>
          <w:i w:val="0"/>
          <w:sz w:val="22"/>
        </w:rPr>
        <w:t xml:space="preserve"> (ou homologação, quando não há stage), antes da promoção para produção.</w:t>
      </w:r>
    </w:p>
    <w:p>
      <w:pPr>
        <w:spacing w:before="0" w:after="120"/>
      </w:pPr>
      <w:r>
        <w:rPr>
          <w:rFonts w:ascii="Calibri" w:hAnsi="Calibri"/>
          <w:b/>
          <w:i w:val="0"/>
          <w:sz w:val="22"/>
        </w:rPr>
        <w:t>Registro de defeitos e retrabalho:</w:t>
      </w:r>
      <w:r>
        <w:rPr>
          <w:rFonts w:ascii="Calibri" w:hAnsi="Calibri"/>
          <w:b w:val="0"/>
          <w:i w:val="0"/>
          <w:sz w:val="22"/>
        </w:rPr>
        <w:t xml:space="preserve"> os defeitos encontrados em teste são registrados como itens vinculados à história/tarefa correspondente (por exemplo, subtarefas de bug no Jira). Esse vínculo permite acompanhar quantas vezes um item foi testado e retornou para correção, alimentando o indicador de </w:t>
      </w:r>
      <w:r>
        <w:rPr>
          <w:rFonts w:ascii="Calibri" w:hAnsi="Calibri"/>
          <w:b/>
          <w:i w:val="0"/>
          <w:sz w:val="22"/>
        </w:rPr>
        <w:t>retrabalho</w:t>
      </w:r>
      <w:r>
        <w:rPr>
          <w:rFonts w:ascii="Calibri" w:hAnsi="Calibri"/>
          <w:b w:val="0"/>
          <w:i w:val="0"/>
          <w:sz w:val="22"/>
        </w:rPr>
        <w:t xml:space="preserve"> da Medição (PLA-MED-001) e dando visibilidade à qualidade da entrega.</w:t>
      </w:r>
    </w:p>
    <w:p>
      <w:pPr>
        <w:spacing w:before="40" w:after="120"/>
        <w:ind w:left="454"/>
        <w:pBdr>
          <w:left w:val="single" w:sz="12" w:space="8" w:color="003366"/>
        </w:pBdr>
      </w:pPr>
      <w:r>
        <w:rPr>
          <w:rFonts w:ascii="Calibri" w:hAnsi="Calibri"/>
          <w:b w:val="0"/>
          <w:i w:val="0"/>
          <w:color w:val="1A5276"/>
          <w:sz w:val="22"/>
        </w:rPr>
        <w:t>A automação de testes não é obrigatória em todos os projetos: os cenários Gherkin mantêm o conhecimento de teste documentado e reaproveitável, e a automação é adotada quando a equipe avalia que compensa.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7. Análise e comunicação dos resultados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Os resultados de V&amp;V são </w:t>
      </w:r>
      <w:r>
        <w:rPr>
          <w:rFonts w:ascii="Calibri" w:hAnsi="Calibri"/>
          <w:b/>
          <w:i w:val="0"/>
          <w:sz w:val="22"/>
        </w:rPr>
        <w:t>analisados</w:t>
      </w:r>
      <w:r>
        <w:rPr>
          <w:rFonts w:ascii="Calibri" w:hAnsi="Calibri"/>
          <w:b w:val="0"/>
          <w:i w:val="0"/>
          <w:sz w:val="22"/>
        </w:rPr>
        <w:t xml:space="preserve"> (cobertura, defeitos encontrados, defeitos que escaparam para produção) e </w:t>
      </w:r>
      <w:r>
        <w:rPr>
          <w:rFonts w:ascii="Calibri" w:hAnsi="Calibri"/>
          <w:b/>
          <w:i w:val="0"/>
          <w:sz w:val="22"/>
        </w:rPr>
        <w:t>registrados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São </w:t>
      </w:r>
      <w:r>
        <w:rPr>
          <w:rFonts w:ascii="Calibri" w:hAnsi="Calibri"/>
          <w:b/>
          <w:i w:val="0"/>
          <w:sz w:val="22"/>
        </w:rPr>
        <w:t>comunicados</w:t>
      </w:r>
      <w:r>
        <w:rPr>
          <w:rFonts w:ascii="Calibri" w:hAnsi="Calibri"/>
          <w:b w:val="0"/>
          <w:i w:val="0"/>
          <w:sz w:val="22"/>
        </w:rPr>
        <w:t xml:space="preserve"> aos envolvidos e alimentam os indicadores de qualidade da Medição (PLA-MED-001): densidade de defeitos, defeitos homologação × produção, retrabalho.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8. Papéis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Papel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Desenvolvedor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Testa o que produz conforme critérios de aceite; participa do code review.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QA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Planeja e aplica metodologias de teste; registra casos e resultados.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Tech Lead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Conduz/garante a revisão por pares.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Product Owner / Cliente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Valida o produto na homologação.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9. Documentos e artefatos relacionados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PRO-GPC-001 — Processo-Padrão Organizacional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TPL-VV-001 — Template de Plano de Verificação e Validação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TPL-VV-002 — Template de Registro de Revisão por Pares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PLA-GCO-001 — Plano de Gerência de Configuração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PLA-MED-001 — Plano de Medição</w:t>
      </w:r>
    </w:p>
    <w:p>
      <w:pPr>
        <w:pStyle w:val="ListBullet"/>
        <w:spacing w:before="20" w:after="40"/>
      </w:pPr>
      <w:r>
        <w:rPr>
          <w:rFonts w:ascii="Calibri" w:hAnsi="Calibri"/>
          <w:b w:val="0"/>
          <w:i w:val="0"/>
          <w:sz w:val="22"/>
        </w:rPr>
        <w:t>PRO-REQ-001 — Processo de Engenharia de Requisitos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10. Rastreabilidade e instrução para auditoria</w:t>
      </w:r>
    </w:p>
    <w:p>
      <w:pPr>
        <w:spacing w:before="0" w:after="120"/>
      </w:pPr>
      <w:r>
        <w:rPr>
          <w:rFonts w:ascii="Calibri" w:hAnsi="Calibri"/>
          <w:b w:val="0"/>
          <w:i/>
          <w:sz w:val="22"/>
        </w:rPr>
        <w:t>Esta seção é destinada à equipe de avaliação e relaciona o conteúdo deste documento aos resultados esperados do modelo de referência MR-MPS-SW. No corpo, o conteúdo é descrito na linguagem operacional da Timeware; o quadro abaixo indica onde cada resultado é atendido.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Este documento corresponde aos resultados do processo </w:t>
      </w:r>
      <w:r>
        <w:rPr>
          <w:rFonts w:ascii="Calibri" w:hAnsi="Calibri"/>
          <w:b/>
          <w:i w:val="0"/>
          <w:sz w:val="22"/>
        </w:rPr>
        <w:t>Verificação e Validação (VV)</w:t>
      </w:r>
      <w:r>
        <w:rPr>
          <w:rFonts w:ascii="Calibri" w:hAnsi="Calibri"/>
          <w:b w:val="0"/>
          <w:i w:val="0"/>
          <w:sz w:val="22"/>
        </w:rPr>
        <w:t xml:space="preserve"> do MR-MPS-SW:2024.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Resultado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Onde é atendido neste documento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1 — produtos a verificar/validar e métodos (seleção e planejamento)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3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2 — revisão por pares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4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3 — métodos, critérios e ambientes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5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4 — atividades realizadas e problemas tratados (execução e tratamento de problemas)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VV 5 — resultados analisados e comunicados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Seção 7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Histórico de revisões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1.3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Campo "Responsável" adicionado ao cabeçalho: Caroline Jenifer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24/10/2025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Definição inicial do processo de verificação e validação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1.1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05/12/2025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Detalhamento do fluxo do QA (teste exploratório, evidências, cenários Gherkin)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1.2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16/01/2026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Critério de mapa de teste; teste mocado não é evidência; ambientes (homologação/stage); registro de bugs/retrabalho via subtarefas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16/01/2026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v1.3  ·  16/01/2026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PRO-VV-001</w:t>
    </w:r>
    <w:r>
      <w:tab/>
    </w:r>
    <w:r>
      <w:rPr>
        <w:rFonts w:ascii="Calibri" w:hAnsi="Calibri"/>
        <w:color w:val="555555"/>
        <w:sz w:val="18"/>
      </w:rPr>
      <w:t>Verificação e Validação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