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SUPERAPP FRUKI · PACOTE 1 — MÓDULO METAS E RV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ADAP-FRUKI01-001   ·   Versão 1.2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 UX/UI — aplicativo 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é um aplicativo React Native / Expo; todas as features envolvem desenvolvimento de telas e experiência do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 protótipos; cliente valida regras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(Fruki) fornece as regras de negócio e valida os protótipos; Brenda Chrystie (Timeware) é responsável pelo design; APIs e dados são fornecidos pelo time técnico Fruki (Jardel/Renan)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nível de documentação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único (Metas/RV) entregue em ~3 meses; equipe de 5 pessoas; escopo bem delimitado ao Pacote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Oliveira: GP + Product Owner; Brenda Chrystie: UX +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Abraão gerencia o projeto e representa o produto junto ao cliente; Brenda conduz levantamento de regras e produz protótipos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comercial interno sem regulação específica (não há dados sensíveis de consumidores externos ou requisitos regulatórios)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única do módulo +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contínuo com piloto em agosto/2025 e aceite após ajustes; entrega via Pull Request no Azure DevOps e APK para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Adotado — 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(APK) gerados via Expo antes de cada merge; revisão técnica do Jardel antes do merge na branch principal; link Expo compartilhado com cliente para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criados em Figma por Brenda Chrystie e validados por Cecília Ribeiro antes de cada sprint de desenvolvimento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formal das features por módulo, com regras de negócio fornecidas pela Fruki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funcionais via APK com cliente e verificação técnica via revisão de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4 APIs REST da Fruki via endpoints documentados; versionamento de branches no Azure DevOps. Ver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ITP-FRUKI01-001_Estrategia-de-Integracao.md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rastreados aos módulos entregues e às PRs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das PRs pelo Jardel (Fruki) antes do merge; revisão interna de código pela equipe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treinamento formal de usuários no escopo deste projeto; a equipe técnica da Fruki acessa o repositório e as APIs diretamente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decisões arquiteturais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técnica de tratamento de latência e normalização no front-end registrada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GDE-FRUKI01-001_Registro-de-Decisao.md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próprio Timeware; não há subcontratação de terceiro respondendo por entrega. As APIs e os dados fornecidos pela Fruki são insumos do cliente, fora do escopo de AQU (PRO-AQU-001 §2).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jun/2025–set/2025)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e GDE referenciados explicitamente na tabela de etapas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Registrada explicitamente a não aplicabilidade do processo de Aquisição (AQU) neste projeto, conforme PRO-AQU-001 §2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ADAP-FRUKI01-001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