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MATRIZ DE RASTREABILIDADE — SUPERAPP FRUKI · PACOTE 1 — MÓDULO METAS E RV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RASTR-FRUKI01-001   ·   Versão 1.0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RASTR-FRUKI01-001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1 — Módulo Metas e Remuneração Variável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Matriz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Necessidade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(ID)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de design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Branch / PR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 de teste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Vendedor visualiza atingimento de metas de volume por família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MetasScreen.tsx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MetaCard.tsx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API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/acompanhamentoMetasFamilias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feature/novos-recursos-superapp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PR revisada por Jardel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 — Metas por família (happy path)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e aceito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Vendedor visualiza cobertura, drop size e positivação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RVScreen.tsx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PerfilRVSummary.tsx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API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/acompanhamentoMetasFamilias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feature/novos-recursos-superapp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PR revisada por Jardel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 — Indicadores multidimensionais (happy path)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e aceito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Vendedor visualiza RV estimada com base nos indicadores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RVScreen.tsx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cálculo no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useMetas.ts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feature/novos-recursos-superapp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PR revisada por Jardel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 — RV por perfil representante (happy path)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e aceito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Tela adapta indicadores conforme perfil do vendedor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Renderização condicional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MetasScreen.tsx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RVScreen.tsx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feature/novos-recursos-superapp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PR revisada por Jardel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 — RV por perfil supervisor (happy path)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e aceito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Tratamento de latência de API no front-end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Loading state em todos os componentes de metas; skeleton screens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feature/novos-recursos-superapp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PR revisada por Jardel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 — Latência de API (sad path)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e aceito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Distribuição via APK Android 8.0+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Expo APK — piloto 05/08/2025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APK testado em dispositivos físicos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e aceito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 entregue via PR no Azure DevOps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Branch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feature/novos-recursos-superapp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revisada e mergeada por Jardel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e aceito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Autenticação com APIs via client-id/client-secret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Headers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metasService.ts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feature/novos-recursos-superapp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PR revisada por Jardel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e aceito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Cobertura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Requisitos sem cobertura de teste: nenhum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Itens desenvolvidos sem requisito associado: nenhum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Todos os RF-01 a RF-04 e RNF-01 a RNF-04 possuem: elemento de design correspondente, entrega via PR no Azure DevOps e cenário de teste ou validação direta com cliente.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 (projeto executado jun–set/2025)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RASTR-FRUKI01-001</w:t>
    </w:r>
    <w:r>
      <w:tab/>
    </w:r>
    <w:r>
      <w:rPr>
        <w:rFonts w:ascii="Calibri" w:hAnsi="Calibri"/>
        <w:color w:val="555555"/>
        <w:sz w:val="18"/>
      </w:rPr>
      <w:t>Engenharia de Requisitos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