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ALINHAMENTO E REVISÃO DO FLUXO DE CAPTURA (REFATORAÇÃO ANDAMENTOSPROCESSUAIS)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pela 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(acompanhamento — evidência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Local / meio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Videoconferência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 ata consolida o alinhamento técnico do fluxo (07/04/2026) e a revisão do fluxo com o time ampliado (08/05/2026), conforme o BLOCO 10 do levantamento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DevOps /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Sênior (Principal)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(Suporte)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Analista de 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 / Infraestrutura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Sessão 1 — Alinhamento do fluxo da API CNJ (07/04/2026)</w:t>
      </w:r>
    </w:p>
    <w:p>
      <w:pPr>
        <w:pStyle w:val="Heading2"/>
        <w:keepNext/>
        <w:keepLines/>
      </w:pPr>
      <w:r>
        <w:t>2.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do novo fluxo de captura multi-fonte (DataJud/CNJ + EPROC/ESAJ + parceiras).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das responsabilidades de cada componente no novo modelo.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Integração do desenvolvedor de suporte (Mateus Veloso), incorporado em Abr/2026.</w:t>
      </w:r>
    </w:p>
    <w:p>
      <w:pPr>
        <w:pStyle w:val="Heading2"/>
        <w:keepNext/>
        <w:keepLines/>
      </w:pPr>
      <w:r>
        <w:t>3.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Gerente de Projeto apresentou o fluxo completo da refatoração: migração do </w:t>
      </w:r>
      <w:r>
        <w:rPr>
          <w:rFonts w:ascii="Courier New" w:hAnsi="Courier New"/>
          <w:b w:val="0"/>
          <w:i w:val="0"/>
          <w:color w:val="333333"/>
          <w:sz w:val="20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 para a fila unificada </w:t>
      </w:r>
      <w:r>
        <w:rPr>
          <w:rFonts w:ascii="Courier New" w:hAnsi="Courier New"/>
          <w:b w:val="0"/>
          <w:i w:val="0"/>
          <w:color w:val="333333"/>
          <w:sz w:val="20"/>
        </w:rPr>
        <w:t>WorkerAndamentos</w:t>
      </w:r>
      <w:r>
        <w:rPr>
          <w:rFonts w:ascii="Calibri" w:hAnsi="Calibri"/>
          <w:b w:val="0"/>
          <w:i w:val="0"/>
          <w:sz w:val="22"/>
        </w:rPr>
        <w:t xml:space="preserve"> (RabbitMQ)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, webhook de indexação parametrizado para múltiplas fontes, histórico de movimentações por inativação de registro, e verificação/desligamento nas APIs parceiras (Solucionário, Botmax) na camada da API após a captura via CNJ.</w:t>
      </w:r>
    </w:p>
    <w:p>
      <w:pPr>
        <w:pStyle w:val="Heading2"/>
        <w:keepNext/>
        <w:keepLines/>
      </w:pPr>
      <w:r>
        <w:t>4.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Parametrizar o webhook para suporte multi-fonte (D03)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inativação de registro (D04)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das parceiras na camada da API (D05)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(Decisões detalhadas em GDE-AASPAP01-001.)</w:t>
      </w:r>
    </w:p>
    <w:p>
      <w:pPr>
        <w:pStyle w:val="Heading2"/>
        <w:keepNext/>
        <w:keepLines/>
      </w:pPr>
      <w:r>
        <w:t>5. Ações (follow-up)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Refatorar o webhook para múltiplas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Implementar a lógica de movimentações por inativação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Onboarding do desenvolvedor de suporte no fluxo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Sessão 2 — Revisão do fluxo e definição de atividades (08/05/2026)</w:t>
      </w:r>
    </w:p>
    <w:p>
      <w:pPr>
        <w:pStyle w:val="Heading2"/>
        <w:keepNext/>
        <w:keepLines/>
      </w:pPr>
      <w:r>
        <w:t>6.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Revisão completa do fluxo com o time ampliado.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Redistribuição de atividades entre os dois projetos correlatos (AASP_AndamentosProcessuais e AASP_CNJ).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Planejamento da continuidade do time durante o período de férias do GP (06–08/05/2026).</w:t>
      </w:r>
    </w:p>
    <w:p>
      <w:pPr>
        <w:pStyle w:val="Heading2"/>
        <w:keepNext/>
        <w:keepLines/>
      </w:pPr>
      <w:r>
        <w:t>7.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Revisado o andamento das Fases 3–4: webhook multi-fonte e movimentações entregues; foco no tratamento de erros por instância (campo Observacao), no controle de segredo de justiça por instância (campo Segredo, decisão D07) e na atualização do CodigoFonteAPI. Esse escopo adicional foi formalizado no CR-AASPAP01-001. Acordada a continuidade autônoma do time durante a ausência do gestor.</w:t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  <w:keepNext/>
        <w:keepLines/>
      </w:pPr>
      <w:r>
        <w:t>8.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Controlar segredo de justiça por instância —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(D07)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Formalizar o escopo adicional da Fase 4 (CR-AASPAP01-001)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Marcos Correa Fernandez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Redistribuir atividades entre AASP_AndamentosProcessuais e AASP_CNJ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08/05/2026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9. Próximos passos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Conclusão da Fase 4 (tratamento de erros, segredo e validação E2E + regressão EPROC) e preparação da Fase 5 (montagem do pacote GMUD e deploy em produção).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consolidando o alinhamento de 07/04/2026 e a revisão de 08/05/2026, reconstituída a partir da Planilha de Gestão GEST-AASPAP01 (14/06/2026, BLOCO 10) e do Registro de Projeto REG-AASPAP01-001.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ATA-AASPAP01-001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