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(execução, Fases 1–4)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 A verificação foi conduzida em três marcos auditados em 08/06/2026: Fases 1–2 (10 itens), Fases 3–4 (11 itens) e consolidado do ciclo (21 itens), com 0 desvios e 100% de conformidade.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REQ-AASPAP01-001; ATAs de alinhamento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(D01–D07)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(PR ≥ 1 revisor além do autor)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(refatoração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(Fase 5 — implantação)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(REG v1.0, 08/06/2026)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RF + 5 RNF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 / REV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 pendente (Fase 5 em andamento)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automatizados / pipeline de CI limitada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Avaliar automação de testes em ciclos futuros (lição aprendida)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auditados em 08/06/2026: 21/21 itens conformes (100%); item GCO-3 (auditoria de encerramento) pendente por o projeto estar em execução.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ao encerramento e à automação de testes)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de configuração de encerramento; ampliar cobertura de testes automatizados / CI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Referência ao processo de origem: EST-GPC-001 (estratégia de Garantia da Qualidade de Processo).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GQA-AASPAP01-001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