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MEDIÇÃO — AASP_ANDAMENTOSPROCESSUAIS · REFATORAÇÃO DA SOLUÇÃO DE CAPTURA DE ANDAMENTOS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MED-AASPAP01-001   ·   Versão 1.0   ·   11/06/2026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MED-AASPAP01-001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AASP_AndamentosProcessuais — Refatoração da Solução de Captura de Andamentos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Gerente de 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t>Abraão Oliveira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Processo MPS-SW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MED (evidência de projeto)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Registrar as medidas coletadas ao longo do projeto, conforme o PLA-MED-001, para apoiar a análise de prazo, esforço, qualidade e rastreabilidade da refatoração da solução legada AndamentosProcessuais para o modelo DataJud/CNJ + WorkerAndamentos. As medidas têm origem na Planilha de Gestão GEST-AASPAP01 (abas Medição, Acompanhamento e Change Requests) e no levantamento GEST-AASPAP01.</w:t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  <w:r>
        <w:rPr>
          <w:rFonts w:ascii="Courier New" w:hAnsi="Courier New"/>
          <w:b w:val="0"/>
          <w:i w:val="0"/>
          <w:color w:val="333333"/>
          <w:sz w:val="20"/>
        </w:rPr>
      </w:r>
      <w:r>
        <w:rPr>
          <w:rFonts w:ascii="Calibri" w:hAnsi="Calibri"/>
          <w:b w:val="0"/>
          <w:i w:val="0"/>
          <w:sz w:val="22"/>
        </w:rPr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Indicadores do projeto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 consolidado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Aderência ao cronograma (% entregas no prazo)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~91% médio (Fases 1–2: 100%; Fases 3–4: ~85% por escopo acordado)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(%)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+9,7% médio (Fases 1–2: +9%; Fases 3–4: +10%)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identificados em homologação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(0 nas Fases 1–2; 5 nas Fases 3–4)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Contidos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escapados para produção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contenção de defeitos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(5/5 corrigidos antes da implantação)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Retrabalho (% do esforço)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requisitos com rastreabilidade completa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(RASTR-AASPAP01-001)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% conformidade GQA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(21/21 itens conformes)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M9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NCs de GQA abertas ao encerramento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realizado vs. planejado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(12 RF + 5 RNF)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de status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processos com status por instância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Atingida</w:t>
            </w:r>
          </w:p>
        </w:tc>
      </w:tr>
    </w:tbl>
    <w:p>
      <w:pPr>
        <w:spacing w:before="0" w:after="160"/>
      </w:pPr>
    </w:p>
    <w:p>
      <w:pPr>
        <w:spacing w:before="40" w:after="120"/>
        <w:ind w:left="454"/>
        <w:pBdr>
          <w:left w:val="single" w:sz="12" w:space="8" w:color="003366"/>
        </w:pBdr>
      </w:pPr>
      <w:r>
        <w:rPr>
          <w:rFonts w:ascii="Calibri" w:hAnsi="Calibri"/>
          <w:b w:val="0"/>
          <w:i w:val="0"/>
          <w:color w:val="1A5276"/>
          <w:sz w:val="22"/>
        </w:rPr>
        <w:t>Nota: o projeto foi gerido por horas/fases no ClickUp, sem story points e sem velocity — por isso os indicadores M3/M4 do template CNJ (SP entregues e velocity) não se aplicam e foram substituídos pelos indicadores de qualidade e rastreabilidade efetivamente coletados.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Medidas de esforço (prazo/progresso)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Fase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estimado (h)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Esforço realizado (h)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Defeitos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 principal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1 — Webhook e CapturaServer (EPROC)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Dez/2025–Fev/2026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Estabilização e integração RabbitMQ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Fev/2026–Mar/2026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66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72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Cézar Hiraki Velázquez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Refatoração para suporte ao CNJ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Abr/2026–Mai/2026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144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+11%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Mateus Veloso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Tratamento de erros e validação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Mai/2026–Jun/2026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98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+9%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/ Caroline Sousa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5 — Implantação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apuração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 Velázquez / Lucas Batista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Dez/2025–Jun/2026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~348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~362 (parcial)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+9,7%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Indicadores funcionais da refatoração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Webhook compatível com múltiplas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das fontes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Operacional para CNJ, EPROC/ESAJ e APIs parceiras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Processos desligados nas parceiras após captura via CNJ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dos casos identificados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Histórico de movimentações por instância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perda de dados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preservado (modelo por inativação)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Análise de variâncias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Variância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Magnitude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Causa-raiz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de ~30 dias na Fase 4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Escopo adicional acordado (campos Observacao, Segredo, CodigoFonteAPI em múltiplas rotinas e tratamentos de erro) — ver CR-AASPAP01-001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</w:r>
            <w:r>
              <w:rPr>
                <w:rFonts w:ascii="Calibri" w:hAnsi="Calibri"/>
                <w:b w:val="0"/>
                <w:i w:val="0"/>
                <w:sz w:val="20"/>
              </w:rPr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esforço de +9,7% no total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Homologação EPROC/ESAJ mais extensa e devolutiva aos associados (CR-AASPAP01-001); estabilização além do previsto</w:t>
            </w:r>
          </w:p>
        </w:tc>
      </w:tr>
    </w:tbl>
    <w:p>
      <w:pPr>
        <w:spacing w:before="0" w:after="160"/>
      </w:pP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atraso e o desvio são explicados por escopo adicional acordado com o cliente, absorvido pelo time sem custo extra, e não por desvio de produtividade. O deadline final (Jun/2026) foi mantido. As metas de prazo, esforço, qualidade e rastreabilidade foram atingidas, com 0 defeitos escapados para produção.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6. Comunicação dos resultados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Conforme PLA-MED-001 §7, os resultados foram comunicados nas reuniões de alinhamento e revisão (ver ATA-AASPAP01-001), nas auditorias de GQA (GQA-AASPAP01-001, 100% de conformidade) e na devolutiva aos associados sobre o resultado da solução EPROC/ESAJ em produção. A consolidação de encerramento será registrada no fechamento do projeto, após a conclusão da Fase 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de medição consolidado a partir da Planilha de Gestão GEST-AASPAP01 (abas Medição, Acompanhamento e Change Requests).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vData  ·  11/06/2026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Indicador</w:t>
    </w:r>
    <w:r>
      <w:tab/>
    </w:r>
    <w:r>
      <w:rPr>
        <w:rFonts w:ascii="Calibri" w:hAnsi="Calibri"/>
        <w:color w:val="555555"/>
        <w:sz w:val="18"/>
      </w:rPr>
      <w:t>Evidência de Projeto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