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refatora a solução legada .NET de captura de andamentos processuais da AASP (API AndamentosProcessuais + CapturaServer), em operação há cerca de 20 anos, para suportar o novo modelo de captura DataJud/CNJ via WorkerAndamentos. A evolução é cirúrgica e delimitada, sem reescrita do sistema legado, e entrega: fila unificada (RabbitMQ), webhook de indexação multi-fonte, histórico de movimentações por instância, verificação e desligamento nas APIs parceiras após captura via CNJ e controle de erros e segredo de justiça por instância. Os requisitos detalhados (RF01–RF12 e RNF01–RNF05) constam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refatoração do CapturaServer (publicação na fila WorkerAndamentos +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 xml:space="preserve">); webhook de indexação multi-fonte; histórico de movimentações por instância; verificação e desligamento nas APIs parceiras;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tratamento de erros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>); segredo de justiça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); desmembramento do RunUpdater para priorização.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o restante da solução AndamentosProcessuais permanece inalterado;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ADAP-AASPAP01-001.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back-end/refatoração,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sob avaliação de certificação MPS-SW Nível 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acumula DevOps e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Cézar Hiraki Velázquez concentra Tech Lead, DevOps e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por horas/fases no ClickUp; sem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solução legada e o ciclo compartilhado com o AASP_CNJ favorecem a gestão por atividades (ver GEST-AASPAP01)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+ DDL no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Solução legada em produção; mudanças controladas por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stage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amostragem, ambiente compartilhado com AASP_CNJ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há Elasticsearch dedicado para testes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(ClickUp). O projeto não utilizou story points (gestão por fases). A base de estimativa foi a experiência do time na solução legada e o projeto irmão AASP_CNJ (mesmo time e ciclo). Detalhamento em GEST-AASPAP01 (abas Backlog, Tarefas e Acompanhamento).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 / 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(Webhook/CapturaServer/RabbitMQ)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 REG v1.0)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/ Homologação (por amostragem)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Jan–Mai/2026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/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(Fase 5 — implantação)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 (esforço)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~348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 (Fase 5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</w:t>
      </w:r>
      <w:r>
        <w:rPr>
          <w:rFonts w:ascii="Calibri" w:hAnsi="Calibri"/>
          <w:b w:val="0"/>
          <w:i w:val="0"/>
          <w:sz w:val="22"/>
        </w:rPr>
        <w:t xml:space="preserve"> Cézar Hiraki Velázquez (Tech Lead / DevOps / Arquiteto, todas as fases); Raony Chagas (Desenvolvedor Sênior Principal); Mateus Veloso (Desenvolvedor de Suporte, a partir de Abr/2026); Caroline Sousa (Analista de QA, Fase 4); Lucas Batista (Infraestrutura/DevOps, Fases 2 e 5); Jonathan Barbosa (Auditor GQA, independente).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(código, GMUD), ambiente de desenvolvimento local (.NET) + SQL Server, ambiente de homologação compartilhado com AASP_CNJ, produção AASP (SQL Server + Elasticsearch + RabbitMQ), ClickUp (gestão de atividades). Tecnologias: .NET / C#, SQL Server, RabbitMQ, Elasticsearch.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 devolutivas de resultado por fase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operacional e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/ atividades de alinhamento registradas no ClickUp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(+ scripts DDL)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 (Lucas Batista)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— pacotes versionados e DDL no Azure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anterior; retrocompatibilidade preserva o fluxo de captura existente durante a transição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fallback/erro parcial e segredo por instância)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validado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Regressão do fluxo EPROC/ESAJ sem impacto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da fila RabbitMQ e dos registros de status/erro por instância nas tabelas de controle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); status de captura; integridade do histórico de movimentações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 Refatoração do webhook causar regressão no fluxo EPROC em produção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testes de regressão por amostragem; retrocompatibilidade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 APIs parceiras com comportamento inconsistente nos endpoints de exclusão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tratamento específico por parceira + registro do retorno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 Perda de histórico de movimentações durante a migração do modelo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modelo só adiciona registros; nada é sobrescrito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 Impacto no desempenho pela verificação nas APIs parceiras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verificação só após captura CNJ; EPROC não afetado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 — não ocorreu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 Falhas transitórias no envio do webhook causando perda de dados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retry no worker antes de registrar erro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— tratado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refatoração reaproveita a solução legada por evolução cirúrgica (esforço estimado ~348 h, ~6,5 meses), compartilhando time e ciclo com o projeto irmão AASP_CNJ, e prepara o pipeline para o modelo multi-fonte DataJud/CNJ sem reescrita. As principais restrições (ausência de Elasticsearch dedicado e comportamento heterogêneo das APIs parceiras) são endereçadas por homologação por amostragem e por controladores específicos por parceira.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Sponsor / 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por fase (Fases 1–2: Mar/2026; Fases 3–4: Jun/2026)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total a registrar no encerramento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Plano foi aprovada em 08/06/2026 (REG-AASPAP01-001 v1.0). O aceite final do projeto será registrado no encerramento, conforme o estágio atual (Fase 5 — implantação em andamento).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AASP_AndamentosProcessuais (REG-AASPAP01-001 v1.0, 08/06/2026)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