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(evidência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VV-AASPAP01-001 (Plano de V&amp;V)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execução dos testes do projeto e os defeitos identificados e tratados, em complemento ao Plano de V&amp;V (VV-AASPAP01-001).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Ciclos e testes executados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 / 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teste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Fases 1–2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EPROC / RabbitMQ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e desempenho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Recebimento, serialização e indexação no Elasticsearch; publicação na fila WorkerAndamentos; homologação por amostragem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Jan–Mar/2026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 / Movimentações / Parceiras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e persistência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CNJ; inativação/criação de registro; DataUltimaAtualizacao; desligamento nas parceiras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Abr–Mai/2026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Erros / Segredo / E2E / Regressão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(E2E), regressão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parcial; NUP inválido; segredo por instância; fluxo E2E; regressão EPROC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Mai–Jun/2026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cenários CT-01 a CT-12 (ver VV-AASPAP01-001 §6) foram executados ao longo destes ciclos, com </w:t>
      </w:r>
      <w:r>
        <w:rPr>
          <w:rFonts w:ascii="Calibri" w:hAnsi="Calibri"/>
          <w:b/>
          <w:i w:val="0"/>
          <w:sz w:val="22"/>
        </w:rPr>
        <w:t>100% de aprovação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Defeitos registrados e tratados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Resolução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 identificado na Fase 3 (webhook multi-fonte / movimentações)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dos campos do modelo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BUG-02 a BUG-05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identificados na Fase 4 (validação)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de merge, Observacao, ordem do desligamento e CodigoFonteAPI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</w:t>
      </w:r>
      <w:r>
        <w:rPr>
          <w:rFonts w:ascii="Calibri" w:hAnsi="Calibri"/>
          <w:b w:val="0"/>
          <w:i w:val="0"/>
          <w:sz w:val="22"/>
        </w:rPr>
        <w:t xml:space="preserve"> 5 defeitos identificados e </w:t>
      </w:r>
      <w:r>
        <w:rPr>
          <w:rFonts w:ascii="Calibri" w:hAnsi="Calibri"/>
          <w:b/>
          <w:i w:val="0"/>
          <w:sz w:val="22"/>
        </w:rPr>
        <w:t>100% resolvidos</w:t>
      </w:r>
      <w:r>
        <w:rPr>
          <w:rFonts w:ascii="Calibri" w:hAnsi="Calibri"/>
          <w:b w:val="0"/>
          <w:i w:val="0"/>
          <w:sz w:val="22"/>
        </w:rPr>
        <w:t xml:space="preserve"> (100% contidos antes da implantação; 0 defeitos escapados para produção).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dos cenários de teste (CT-01 a CT-12)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validação foi conduzida por amostragem (repetição do mesmo processo na fila, em ambiente compartilhado com AASP_CNJ, sem impacto no índice de produção). Cenários conforme VV-AASPAP01-001 §6 e GEST-AASPAP01.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EPROC enviados ao webhook → serializa e indexa no Elasticsearch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publica na fila WorkerAndamentos com SegmentoTribunal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 de captura e indexação EPROC por amostragem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da API CNJ ao webhook → indexação multi-fonte sem campos fixos do TJSP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com registro ativo → inativação do anterior e criação de novo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sem novas movimentações → DataUltimaAtualizacao atualizado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capturado via CNJ e cadastrado em parceira → desligamento na parceira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E2E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multi-instância via CNJ → captura com sucesso em todas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Falha em uma instância → ProcessoCaptura status 3 e só a instância marcada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Parceira retorna NUP inválido → Status=8 e Resposta=10 em todas as instâncias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Uma instância em segredo e outra não → campo Segredo atualizado por instância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Refatorações aplicadas → fluxo EPROC/ESAJ em produção não impactado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testes cobriram os fluxos de captura e indexação multi-fonte (EPROC/ESAJ e CNJ), publicação na fila unificada, histórico de movimentações por instância, desligamento nas APIs parceiras, tratamento de erro e segredo por instância, além da regressão do fluxo EPROC em produção (CT-12). Todos os 12 cenários de teste foram aprovados e os 5 defeitos identificados foram tratados antes da implantação. A ausência de ambiente de Elasticsearch dedicado e a baixa cobertura de testes automatizados/CI são as principais limitações da estratégia de teste (registradas em lições aprendidas).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andamentos_retry_webhook.jpeg</w:t>
      </w:r>
      <w:r>
        <w:rPr>
          <w:rFonts w:ascii="Calibri" w:hAnsi="Calibri"/>
          <w:b w:val="0"/>
          <w:i w:val="0"/>
          <w:sz w:val="22"/>
        </w:rPr>
        <w:t xml:space="preserve"> — Retry no envio do webhook (RNF04)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 consolidado a partir do Registro de Projeto AASP_AndamentosProcessuais.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Evidências (anexos)</w:t>
      </w:r>
    </w:p>
    <w:p>
      <w:r>
        <w:t>Retry no envio do webhook (RNF04)</w:t>
      </w:r>
    </w:p>
    <w:p>
      <w:r>
        <w:drawing>
          <wp:inline xmlns:a="http://schemas.openxmlformats.org/drawingml/2006/main" xmlns:pic="http://schemas.openxmlformats.org/drawingml/2006/picture">
            <wp:extent cx="5400000" cy="6145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mentos_retry_webhook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459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REL-VV-AASPAP01-001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