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ADAP-AASPCNJ01-001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Adaptação do processo-padrão (PRO-GPC-001) a este projeto, conforme o GUIA-GPC-001.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UX/UI — apenas back-end/worker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solução é um agente de captura e serviços de retaguarda; não há interface de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elabora; AASP valida e homologa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 requisitos derivam de problemas operacionais da captura; o cliente valida resultados e aceita as entregas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→ formalidade 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~586 h estimadas, ~9 meses, dois projetos correlatos (id 213 EPROC e id 256 CNJ)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Sênior acumulou execução de testes nas fases iniciais; GP acumulou responsável por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Analista de Testes dedicado a partir da Fase 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 e cadência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acompanhada por horas/cards no ClickUp; backlog modelado retroativamente em sprints e story points para evidência e carga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Concilia a gestão real com a rastreabilidade ágil (ver GEST-AASPCNJ01)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marco/fase, com devolutivas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Acordada com a AASP; resultados comunicados por fase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adotado — homologação por amostragem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havia ambiente de Elasticsearch dedicado para testes; validação por repetição do mesmo processo na fila sem impacto no índice de produção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front-end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teste por história (story)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não usa histórias/SP; testes organizados por fluxo e fase (ver VV-AASPCNJ01-001)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ITP-AASPCNJ01-001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e execução de V&amp;V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VV-AASPCNJ01-001 e REL-VV-AASPCNJ01-001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 (GitFlow + GMUD)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decisões (GDE)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subcontratação de desenvolvimento; APIs/infra de terceiros são insumos de serviço, tratados em ITP/PCP e Riscos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 (REQ-AASPCNJ01-001)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Plano de Projeto aprovado pelo cliente (baseline) — a registrar no encerramento (projeto em execução)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Definição de Pronto aplicada (critérios de aceite CA01–CA07, ver VV)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Verificação e validação realizadas (VV / REL-VV)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Encerramento formal com aceite — Onda 3 (encerramento previsto 30/06/2026)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dois pontos em aberto referem-se a marcos de encerramento e serão registrados ao final do projeto (TAE-AASPCNJ01-001 e a ata de aceite), conforme o estágio atual.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Sim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