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 DO FLUXO DE CAPTURA API 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 entendimento do fluxo da API CNJ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via API DataJud/CNJ.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responsabilidades para 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incorporado ao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nova arquitetura: funcionamento da API DataJud,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mecanismos de fallback (CNJ → EPROC/ESAJ → parceiras) e modelo de dados de gravação no Elasticsearch (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). Foi alinhado o enfileiramento unificado no RabbitMQ e a gestão compartilhada do token Bearer.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DataJud/CNJ como fonte primária universal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do JSON CNJ no worker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GDE-AASPCNJ01-001.)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o worker de requisição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enfileiramento unificado com verificação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4 (Desenvolvimento CNJ): captura via DataJud, fluxo de gravação via webhook e lógica de fallback.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do alinhamento de 07/04/2026 reconstituída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Time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