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de versão / GMUD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 (ver REV-AASPCNJ01-001)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devops_cnj_tags.png</w:t>
      </w:r>
      <w:r>
        <w:rPr>
          <w:rFonts w:ascii="Calibri" w:hAnsi="Calibri"/>
          <w:b w:val="0"/>
          <w:i w:val="0"/>
          <w:sz w:val="22"/>
        </w:rPr>
        <w:t xml:space="preserve"> — Tags de baseline (v230/v240/v241)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estrutura_WorkerAndamentos.png</w:t>
      </w:r>
      <w:r>
        <w:rPr>
          <w:rFonts w:ascii="Calibri" w:hAnsi="Calibri"/>
          <w:b w:val="0"/>
          <w:i w:val="0"/>
          <w:sz w:val="22"/>
        </w:rPr>
        <w:t xml:space="preserve"> — Estrutura da solução WorkersAndamentos.sln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gco-branches-gitflow.png</w:t>
      </w:r>
      <w:r>
        <w:rPr>
          <w:rFonts w:ascii="Calibri" w:hAnsi="Calibri"/>
          <w:b w:val="0"/>
          <w:i w:val="0"/>
          <w:sz w:val="22"/>
        </w:rPr>
        <w:t xml:space="preserve"> — Modelo de branching GitFlow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devops_cnj_pipeline_ci.png</w:t>
      </w:r>
      <w:r>
        <w:rPr>
          <w:rFonts w:ascii="Calibri" w:hAnsi="Calibri"/>
          <w:b w:val="0"/>
          <w:i w:val="0"/>
          <w:sz w:val="22"/>
        </w:rPr>
        <w:t xml:space="preserve"> — Pipeline CI — testes e cobertura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WorkersAndamentos.sln</w:t>
      </w:r>
    </w:p>
    <w:p>
      <w:r>
        <w:drawing>
          <wp:inline xmlns:a="http://schemas.openxmlformats.org/drawingml/2006/main" xmlns:pic="http://schemas.openxmlformats.org/drawingml/2006/picture">
            <wp:extent cx="5400000" cy="12691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WorkerAndamen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9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branching GitFlow</w:t>
      </w:r>
    </w:p>
    <w:p>
      <w:r>
        <w:drawing>
          <wp:inline xmlns:a="http://schemas.openxmlformats.org/drawingml/2006/main" xmlns:pic="http://schemas.openxmlformats.org/drawingml/2006/picture">
            <wp:extent cx="5400000" cy="2403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 — testes e cobertura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