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 (Plano de V&amp;V)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execução dos testes do projeto e os defeitos identificados e tratados, em complemento ao Plano de V&amp;V (VV-AASPCNJ01-001).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Testes executados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de desempenho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Estudo do comportamento do captcha Cloudflare nos portais do TJSP e estratégias de contorno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desempenho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Throughput e estabilidade do fluxo EPROC com múltiplos workers simultâneos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de publicação no RabbitMQ e webhook de indexação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/ bug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Reteste das falhas: timeout após captcha, nullabilidade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de captura CNJ (consulta, autenticação, JSON, webhook)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NUP nas APIs parceiras após captura via 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(E2E)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CNJ: sucesso, fallback e erro parcial por instância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das movimentações e atualização da coluna de exclusão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e exclusão de processos nas APIs parceiras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Defeitos registrados e tratados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Resolução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BUG-01 a BUG-04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da estabilização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Correções de timeout/captcha, nullabilidade e DataUltimaAtualizacao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BUG-05 a BUG-07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do desenvolvimento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 fila RabbitMQ (137 mil itens), publicação de mensagens e campos hardcoded do TJSP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BUG-08, BUG-09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de E2E/regressão e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referências pós-merge e do fluxo de indexação/exclusão nas APIs parceiras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Resumo:</w:t>
      </w:r>
      <w:r>
        <w:rPr>
          <w:rFonts w:ascii="Calibri" w:hAnsi="Calibri"/>
          <w:b w:val="0"/>
          <w:i w:val="0"/>
          <w:sz w:val="22"/>
        </w:rPr>
        <w:t xml:space="preserve"> 9 defeitos identificados e </w:t>
      </w:r>
      <w:r>
        <w:rPr>
          <w:rFonts w:ascii="Calibri" w:hAnsi="Calibri"/>
          <w:b/>
          <w:i w:val="0"/>
          <w:sz w:val="22"/>
        </w:rPr>
        <w:t>100% resolvidos</w:t>
      </w:r>
      <w:r>
        <w:rPr>
          <w:rFonts w:ascii="Calibri" w:hAnsi="Calibri"/>
          <w:b w:val="0"/>
          <w:i w:val="0"/>
          <w:sz w:val="22"/>
        </w:rPr>
        <w:t xml:space="preserve"> antes da validação final do fluxo.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dos critérios de aceite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validação foi conduzida por amostragem (repetição do mesmo processo na fila, sem impacto no índice de produção), conforme ADAP-AASPCNJ01-001.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correto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sucesso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persistência,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no Elasticsearch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fluxo,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API parceira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integração,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fluxo, Fase 5)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Conclusão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testes cobriram os fluxos de captura (CNJ, EPROC/ESAJ e parceiras), fallback, persistência e indexação. Todos os defeitos identificados foram tratados e os critérios de aceite foram validados por amostragem. A ausência de ambiente de Elasticsearch dedicado é a principal limitação da estratégia de teste (ver ADAP-AASPCNJ01-001).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 consolidado a partir do Registro de Projeto AASP_CNJ v1.0 (08/06/2026).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cnj_ca01.jpeg</w:t>
      </w:r>
      <w:r>
        <w:rPr>
          <w:rFonts w:ascii="Calibri" w:hAnsi="Calibri"/>
          <w:b w:val="0"/>
          <w:i w:val="0"/>
          <w:sz w:val="22"/>
        </w:rPr>
        <w:t xml:space="preserve"> — Critério de aceite CA01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cnj_ca02.jpg</w:t>
      </w:r>
      <w:r>
        <w:rPr>
          <w:rFonts w:ascii="Calibri" w:hAnsi="Calibri"/>
          <w:b w:val="0"/>
          <w:i w:val="0"/>
          <w:sz w:val="22"/>
        </w:rPr>
        <w:t xml:space="preserve"> — Critério de aceite CA02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cnj_ca03.jpeg</w:t>
      </w:r>
      <w:r>
        <w:rPr>
          <w:rFonts w:ascii="Calibri" w:hAnsi="Calibri"/>
          <w:b w:val="0"/>
          <w:i w:val="0"/>
          <w:sz w:val="22"/>
        </w:rPr>
        <w:t xml:space="preserve"> — Critério de aceite CA03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cnj_ca05.jpeg</w:t>
      </w:r>
      <w:r>
        <w:rPr>
          <w:rFonts w:ascii="Calibri" w:hAnsi="Calibri"/>
          <w:b w:val="0"/>
          <w:i w:val="0"/>
          <w:sz w:val="22"/>
        </w:rPr>
        <w:t xml:space="preserve"> — Critério de aceite CA05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cnj_ca07.jpg</w:t>
      </w:r>
      <w:r>
        <w:rPr>
          <w:rFonts w:ascii="Calibri" w:hAnsi="Calibri"/>
          <w:b w:val="0"/>
          <w:i w:val="0"/>
          <w:sz w:val="22"/>
        </w:rPr>
        <w:t xml:space="preserve"> — Critério de aceite CA07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cnj_ca04.txt</w:t>
      </w:r>
      <w:r>
        <w:rPr>
          <w:rFonts w:ascii="Calibri" w:hAnsi="Calibri"/>
          <w:b w:val="0"/>
          <w:i w:val="0"/>
          <w:sz w:val="22"/>
        </w:rPr>
        <w:t xml:space="preserve"> — Critério de aceite CA04 (anexo)</w:t>
      </w:r>
    </w:p>
    <w:p>
      <w:pPr>
        <w:pStyle w:val="Heading1"/>
      </w:pPr>
      <w:r>
        <w:t>Evidências (anexos)</w:t>
      </w:r>
    </w:p>
    <w:p>
      <w:r>
        <w:t>Critério de aceite CA01</w:t>
      </w:r>
    </w:p>
    <w:p>
      <w:r>
        <w:drawing>
          <wp:inline xmlns:a="http://schemas.openxmlformats.org/drawingml/2006/main" xmlns:pic="http://schemas.openxmlformats.org/drawingml/2006/picture">
            <wp:extent cx="5400000" cy="1144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1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44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CA02</w:t>
      </w:r>
    </w:p>
    <w:p>
      <w:r>
        <w:drawing>
          <wp:inline xmlns:a="http://schemas.openxmlformats.org/drawingml/2006/main" xmlns:pic="http://schemas.openxmlformats.org/drawingml/2006/picture">
            <wp:extent cx="5400000" cy="14054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405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CA03</w:t>
      </w:r>
    </w:p>
    <w:p>
      <w:r>
        <w:drawing>
          <wp:inline xmlns:a="http://schemas.openxmlformats.org/drawingml/2006/main" xmlns:pic="http://schemas.openxmlformats.org/drawingml/2006/picture">
            <wp:extent cx="5400000" cy="22145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3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14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CA05</w:t>
      </w:r>
    </w:p>
    <w:p>
      <w:r>
        <w:drawing>
          <wp:inline xmlns:a="http://schemas.openxmlformats.org/drawingml/2006/main" xmlns:pic="http://schemas.openxmlformats.org/drawingml/2006/picture">
            <wp:extent cx="5400000" cy="155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5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CA07</w:t>
      </w:r>
    </w:p>
    <w:p>
      <w:r>
        <w:drawing>
          <wp:inline xmlns:a="http://schemas.openxmlformats.org/drawingml/2006/main" xmlns:pic="http://schemas.openxmlformats.org/drawingml/2006/picture">
            <wp:extent cx="5400000" cy="2539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CA04 (anexo)</w:t>
      </w:r>
    </w:p>
    <w:p>
      <w:r>
        <w:t>[anexo não-imagem: cnj_ca04.txt — ver pasta evidencias/]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REL-VV-AASPCNJ01-001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eg"/><Relationship Id="rId14" Type="http://schemas.openxmlformats.org/officeDocument/2006/relationships/image" Target="media/image2.jpg"/><Relationship Id="rId15" Type="http://schemas.openxmlformats.org/officeDocument/2006/relationships/image" Target="media/image3.jpeg"/><Relationship Id="rId16" Type="http://schemas.openxmlformats.org/officeDocument/2006/relationships/image" Target="media/image4.jpeg"/><Relationship Id="rId17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