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TAP-AASPCNJ01-001   ·   Versão 1.0   ·   01/10/2025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Reconstruir o modelo de captura de andamentos processuais da plataforma de monitoramento da AASP, substituindo a dependência de web scrapers frágeis e de APIs privadas pagas por uma arquitetura baseada em duas fontes complementares: (1) um agente de captura nativo para o TJSP via EPROC/ESAJ e (2) a API DataJud do Conselho Nacional de Justiça (CNJ) como fonte primária e universal de captura. O resultado esperado é uma operação de captura mais estável, com cobertura nacional, custo significativamente menor (economia projetada de ~R$ 180 mil anuais) e observabilidade adequada para reprocessamento e escalonamento.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Agente de captura nativo para o TJSP via EPROC/ESAJ (engine Puppeteer headless).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Integração com a API DataJud/CNJ como fonte primária de captura para todos os NUPs com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nulo.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Roteamento inteligente de fonte por processo e estratégia de fallback em três níveis (CNJ → EPROC/ESAJ → APIs parceiras).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Enfileiramento unificado no RabbitMQ (independente do tribunal) e envio dos dados capturados à API AndamentosProcessuais via webhook.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Desligamento automático do processo nas APIs parceiras após captura bem-sucedida via CNJ, com log de desligamento.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Controle de segredo de justiça por instância processual.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Gestão centralizada do token Bearer da API CNJ com renovação automática compartilhada entre workers.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O front-end de consulta do associado e o índice Elasticsearch já existentes (a solução integra-se a eles via API AndamentosProcessuais, mas não os desenvolve).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Novos módulos da plataforma AASP fora do fluxo de captura.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requisitos, homologação e aceite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(Gerente de Projeto / Tech Lead)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cliente, decisões técnicas e gestão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do projeto e priorização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Tech Lead / DevOps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 Sênior (Principal)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Raony Chagas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Lucas Batista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Analista de 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Caroline Sousa</w:t>
            </w:r>
          </w:p>
        </w:tc>
      </w:tr>
      <w:tr>
        <w:tc>
          <w:tcPr>
            <w:tcW w:type="dxa" w:w="4451"/>
          </w:tcPr>
          <w:p>
            <w:r>
              <w:t>Auditor GQA (independente)</w:t>
            </w:r>
          </w:p>
        </w:tc>
        <w:tc>
          <w:tcPr>
            <w:tcW w:type="dxa" w:w="4451"/>
          </w:tcPr>
          <w:p>
            <w:r>
              <w:t>Jonathan Barbosa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/ início (Fase 1 — 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EPROC/ESAJ (Fases 2–3)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CNJ (Fase 4)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previsto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 (na abertura)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Estudo do comportamento do captcha Cloudflare nos portais do TJSP e estratégias de contorno.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 arquitetura da solução EPROC/ESAJ.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Preparação dos ambientes de homologação.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disponível, com a cobertura de tribunais declarada e custo de R$ 0,01 por processo.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Associados com processos em segredo de justiça fornecem as credenciais necessárias quando solicitado.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não retorna dados de processos em segredo de justiça, exigindo fallback obrigatório.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Diferentes tribunais exigem diferentes credenciais para acesso a processos em segredo (usuário/senha, certificado A1, QR Code).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realizada por amostragem, sem ambiente de Elasticsearch dedicado para testes.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aberto com o início da Fase 1 (Análise e Arquitetura) em 01/10/2025. O alinhamento técnico formal do fluxo de captura via API CNJ com o time ampliado está registrado em ATA-AASPCNJ01-001 (07/04/2026).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 Fase 1 (Análise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— fluxo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ATA-AASPCNJ01-001 (07/04/2026)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