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 (EPROC/ESAJ e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na fila unificada WorkerAndamentos (RabbitMQ)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(inativação/criação)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do NUP nas APIs parceiras (Solucionário, Botmax)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e segredo de justiça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do fluxo EPROC/ESAJ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regressão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(12 RF + 5 RNF)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representante AASP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por requisito (seção 3), validados pelos cenários CT-01 a CT-12 (seção 6), executados pelo time de desenvolvimento (Raony Chagas / Mateus Veloso).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(Caroline Sousa, a partir da Fase 4):</w:t>
      </w:r>
      <w:r>
        <w:rPr>
          <w:rFonts w:ascii="Calibri" w:hAnsi="Calibri"/>
          <w:b w:val="0"/>
          <w:i w:val="0"/>
          <w:sz w:val="22"/>
        </w:rPr>
        <w:t xml:space="preserve"> testes de fluxo (E2E), integração, persistência e regressão.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 (Fases 1–2).</w:t>
      </w:r>
    </w:p>
    <w:p>
      <w:pPr>
        <w:pStyle w:val="ListBullet"/>
        <w:spacing w:before="20" w:after="40"/>
      </w:pPr>
      <w:r>
        <w:t>Ferramentas: ClickUp para controle das atividades de teste (horas estimadas/realizadas); GitLab para código e Merge Requests.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em ambiente compartilhado com AASP_CNJ, sem Elasticsearch dedicado — validação por repetição do mesmo processo na fila, sem impacto no índice de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 por requisito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critérios de aceite são os próprios requisitos (RF/RNF) do REQ-AASPAP01-001, validados pelos cenários de teste CT-01 a CT-12 (seção 6). Não há numeração de critério (CA) à parte — cada RF é aceito quando o(s) cenário(s) correspondente(s) é(são) aprovado(s).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(condição de aceite)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Cenário(s) de validação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CapturaServer publica na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, independente do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indexa dados de qualquer fonte (EPROC/ESAJ e CNJ), sem campos fixos por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inativa o registro anterior e cria um novo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 no registro ativo mesmo sem novas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 / RF06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NUP verificado e desligado nas parceiras, com registro do retorno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 / RF08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 e só a instância afetada é marcada (com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CodigoProcessoCapturaStatus=8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CodigoProcessoCapturaResposta=10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instâncias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 (E2E)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priorização de retorno por tipo de 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na Fase 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 (retrocompatibilidade)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não impactado pelas refatorações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REL-VV-AASPAP01-001. Os testes foram organizados em três ciclos de execução (Fases 1–2, Fase 3 e Fase 4) e 12 cenários de teste (CT-01 a CT-12, 100% aprovados). Defeitos foram registrados e tratados ao longo das Fases 3 e 4 (5 defeitos catalogados, todos resolvidos antes da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(Tech Lead / DevOps / Arquiteto), com apoio de Caroline Sousa (QA) na Fase 4, e comunicados nas reuniões de alinhamento (atas de 07/04/2026, 28/04/2026, 08/05/2026). Indicadores de qualidade (taxa de defeitos em homologação, defeitos escapados para produção) alimentam a Medição (ver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e indexação multi-fonte com tratamento por instância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Indexação multi-fonte via webhook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dados de andamentos de uma fonte EPROC/ESAJ ou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webhook de indexação recebe 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eles são serializados e indexados no Elasticsearch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 campo fixo por tribunal é exigido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Histórico de movimentações por inativação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uma instância com registro de movimentação ativo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uma nova captura é processada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registro anterior é inativado e um novo registro é criado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DataUltimaAtualizacao é atualizada mesmo sem novas movimentações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multi-instância pendente via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falha na captura de uma instância e sucesso nas demais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ProcessoCaptura mantém status 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apenas a instância afetada é marcada com a Observacao do erro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NUP inválido pela parceira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cadastrado em uma API parceira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parceira retorna NUP inválido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todas as instâncias recebem CodigoProcessoCapturaStatus=8 e CodigoProcessoCapturaResposta=10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Segredo de justiça por instância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uma instância em segredo e outra não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captura é processada via CNJ ou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campo Segredo é atualizado apenas na instância restrita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Regressão do fluxo EPROC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o fluxo EPROC/ESAJ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as refatorações multi-fonte são aplicadas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fluxo EPROC não é impactado (retrocompatibilidade)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serialização e indexação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pendente → 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EPROC pendentes → fluxo completo → captura e indexação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OK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nova captura → registro anterior inativado e novo criado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verificação e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pendente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e sucesso nas demais →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→ refatorações aplicadas → fluxo EPROC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AASP_AndamentosProcessuais.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