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GUIA DE ADAPTAÇÃO DO PROCESSO-PADRÃO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PRO-GPC-001   ·   Versão Data   ·   19/01/2026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GUIA-GPC-001 — Guia de Adaptação do Processo-Padrão (Tailoring)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PRO-GPC-001 — Processo-Padrão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guia define como cada projeto da Timeware adapta o Processo-Padrão Organizacional (PRO-GPC-001) ao seu contexto específico. A adaptação permite que o processo seja aplicado de forma proporcional ao porte, ao tipo e à criticidade de cada projeto, sem comprometer os controles essenciais de qualidade.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Princípio da adaptação (regra de ouro)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Adaptar o processo significa ajustar </w:t>
      </w:r>
      <w:r>
        <w:rPr>
          <w:rFonts w:ascii="Calibri" w:hAnsi="Calibri"/>
          <w:b/>
          <w:i w:val="0"/>
          <w:sz w:val="22"/>
        </w:rPr>
        <w:t>como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com que profundidade</w:t>
      </w:r>
      <w:r>
        <w:rPr>
          <w:rFonts w:ascii="Calibri" w:hAnsi="Calibri"/>
          <w:b w:val="0"/>
          <w:i w:val="0"/>
          <w:sz w:val="22"/>
        </w:rPr>
        <w:t xml:space="preserve"> cada atividade é realizada — nunca eliminar arbitrariamente um ponto de controle obrigatório.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É permitido:</w:t>
      </w:r>
      <w:r>
        <w:rPr>
          <w:rFonts w:ascii="Calibri" w:hAnsi="Calibri"/>
          <w:b w:val="0"/>
          <w:i w:val="0"/>
          <w:sz w:val="22"/>
        </w:rPr>
        <w:t xml:space="preserve"> ajustar a profundidade e a formalidade dos produtos de trabalho; combinar papéis; encurtar ou simplificar atividades; dispensar atividades que </w:t>
      </w:r>
      <w:r>
        <w:rPr>
          <w:rFonts w:ascii="Calibri" w:hAnsi="Calibri"/>
          <w:b/>
          <w:i w:val="0"/>
          <w:sz w:val="22"/>
        </w:rPr>
        <w:t>genuinamente não se aplicam</w:t>
      </w:r>
      <w:r>
        <w:rPr>
          <w:rFonts w:ascii="Calibri" w:hAnsi="Calibri"/>
          <w:b w:val="0"/>
          <w:i w:val="0"/>
          <w:sz w:val="22"/>
        </w:rPr>
        <w:t xml:space="preserve"> ao projeto.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é permitido:</w:t>
      </w:r>
      <w:r>
        <w:rPr>
          <w:rFonts w:ascii="Calibri" w:hAnsi="Calibri"/>
          <w:b w:val="0"/>
          <w:i w:val="0"/>
          <w:sz w:val="22"/>
        </w:rPr>
        <w:t xml:space="preserve"> suprimir um ponto de controle obrigatório (requisitos, design, testes, homologação, encerramento) sob a justificativa de que o projeto é pequeno ou urgente.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Uma atividade só pode ser dispensada quando </w:t>
      </w:r>
      <w:r>
        <w:rPr>
          <w:rFonts w:ascii="Calibri" w:hAnsi="Calibri"/>
          <w:b/>
          <w:i w:val="0"/>
          <w:sz w:val="22"/>
        </w:rPr>
        <w:t>não se aplica de fato</w:t>
      </w:r>
      <w:r>
        <w:rPr>
          <w:rFonts w:ascii="Calibri" w:hAnsi="Calibri"/>
          <w:b w:val="0"/>
          <w:i w:val="0"/>
          <w:sz w:val="22"/>
        </w:rPr>
        <w:t xml:space="preserve"> ao projeto — por exemplo, design de interface em um projeto sem front-end —, e não por conveniência de prazo.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Pontos de controle obrigatórios (não adaptáveis)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Independentemente da adaptação, todo projeto de software sob medida mantém: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Abertura formal do projeto (Termo de Abertura).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Requisitos identificados, especificados e validados com o cliente.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Design técnico (arquitetura) avaliado antes da construção.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Pronto aplicada a cada entrega (critérios de aceite, code review, testes do QA, homologação).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Aprovação do cliente antes da promoção para produção.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Encerramento formal (Termo de Aceite).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Estes controles podem variar em profundidade, mas existem em todos os projetos.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Eixos de adaptação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adaptação de cada projeto é decidida considerando os eixos abaixo.</w:t>
      </w:r>
    </w:p>
    <w:p>
      <w:pPr>
        <w:pStyle w:val="Heading2"/>
        <w:keepNext/>
        <w:keepLines/>
      </w:pPr>
      <w:r>
        <w:t>4.1. Tipo de produto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com interface de usuário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(front-end)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 design de UX/UI (wireframe → validação com cliente → design contínuo antecipado).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sem front-end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(API, serviço, componente de 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Dispensa o design de UX/UI. Mantém o design técnico (arquitetura, modelo de dados, integrações).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de </w:t>
            </w:r>
            <w:r>
              <w:rPr>
                <w:rFonts w:ascii="Calibri" w:hAnsi="Calibri"/>
                <w:b/>
                <w:i w:val="0"/>
                <w:sz w:val="20"/>
              </w:rPr>
              <w:t>integração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entre sistemas existentes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Ênfase no design técnico de interfaces e contratos de integração. UX/UI normalmente não se aplica.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de </w:t>
            </w:r>
            <w:r>
              <w:rPr>
                <w:rFonts w:ascii="Calibri" w:hAnsi="Calibri"/>
                <w:b/>
                <w:i w:val="0"/>
                <w:sz w:val="20"/>
              </w:rPr>
              <w:t>migração / modernização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legado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Inclui análise do sistema atual; o design foca na compatibilidade e na estratégia de migração.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4.2. Origem dos requisitos e do design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Cliente </w:t>
            </w:r>
            <w:r>
              <w:rPr>
                <w:rFonts w:ascii="Calibri" w:hAnsi="Calibri"/>
                <w:b/>
                <w:i w:val="0"/>
                <w:sz w:val="20"/>
              </w:rPr>
              <w:t>não traz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design pronto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Timeware conduz a criação do design (wireframe, protótipo, validação).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Cliente </w:t>
            </w:r>
            <w:r>
              <w:rPr>
                <w:rFonts w:ascii="Calibri" w:hAnsi="Calibri"/>
                <w:b/>
                <w:i w:val="0"/>
                <w:sz w:val="20"/>
              </w:rPr>
              <w:t>traz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design/UX pronto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etapa de criação de UX/UI é dispensada; o design é apenas validado e implementado.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Cliente </w:t>
            </w:r>
            <w:r>
              <w:rPr>
                <w:rFonts w:ascii="Calibri" w:hAnsi="Calibri"/>
                <w:b/>
                <w:i w:val="0"/>
                <w:sz w:val="20"/>
              </w:rPr>
              <w:t>traz requisitos já detalhados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(ex.: RFP fechado)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Discovery é mais curto, focado em confirmar entendimento e rastreabilidade, em vez de levantar do zero.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4.3. Porte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pequeno / curto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mais enxuta: requisitos podem ser registrados como histórias no Jira, em vez de documento extenso. Os controles obrigatórios (seção 3) são mantidos.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grande / longo / crítico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formalidade e rastreabilidade; mais rigor nos produtos de trabalho e nos registros.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Adaptações adicionais possíveis em projetos pequenos, desde que preservados os pontos de controle: redução de marcos intermediários e simplificação das cerimônias. A decisão é registrada na adaptação do projeto.</w:t>
      </w:r>
    </w:p>
    <w:p>
      <w:pPr>
        <w:pStyle w:val="Heading2"/>
        <w:keepNext/>
        <w:keepLines/>
      </w:pPr>
      <w:r>
        <w:t>4.4. Equipe e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pequeno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Papéis podem ser acumulados por uma mesma pessoa (por exemplo, Tech Lead acumulando Arquiteto). A responsabilidade por cada papel permanece atribuída.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</w:t>
            </w:r>
            <w:r>
              <w:rPr>
                <w:rFonts w:ascii="Calibri" w:hAnsi="Calibri"/>
                <w:b/>
                <w:i w:val="0"/>
                <w:sz w:val="20"/>
              </w:rPr>
              <w:t>grande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Papéis tendem a ser exercidos por pessoas distintas.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4.5. Criticidade e regulação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Projeto com requisitos </w:t>
            </w:r>
            <w:r>
              <w:rPr>
                <w:rFonts w:ascii="Calibri" w:hAnsi="Calibri"/>
                <w:b/>
                <w:i w:val="0"/>
                <w:sz w:val="20"/>
              </w:rPr>
              <w:t>críticos ou regulatórios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Maior rigor nas atividades de verificação, validação e registro; controles reforçados conforme a exigência aplicável.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4.6. Cadência de entrega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Adaptação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Cadência de entrega ao 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Embora o desenvolvimento seja ágil (sprints de duas semanas), o cliente não precisa receber um pacote a cada sprint. A cadência de entrega ao cliente é definida por projeto e </w:t>
            </w:r>
            <w:r>
              <w:rPr>
                <w:rFonts w:ascii="Calibri" w:hAnsi="Calibri"/>
                <w:b/>
                <w:i w:val="0"/>
                <w:sz w:val="20"/>
              </w:rPr>
              <w:t>acordada na etapa de Apresentação e Aprovação do Plano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 Timeware pode consolidar internamente os incrementos em stage e entregar conforme a cadência combinada).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Ambiente de stage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ambiente de stage (réplica de produção) é recomendado, mas </w:t>
            </w:r>
            <w:r>
              <w:rPr>
                <w:rFonts w:ascii="Calibri" w:hAnsi="Calibri"/>
                <w:b/>
                <w:i w:val="0"/>
                <w:sz w:val="20"/>
              </w:rPr>
              <w:t>não é obrigatório</w:t>
            </w:r>
            <w:r>
              <w:rPr>
                <w:rFonts w:ascii="Calibri" w:hAnsi="Calibri"/>
                <w:b w:val="0"/>
                <w:i w:val="0"/>
                <w:sz w:val="20"/>
              </w:rPr>
              <w:t>. Sua ausência é uma adaptação possível, com a ressalva de que aumenta o risco de instabilidade nas apresentações ao cliente, que passariam a ocorrer em homologação.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Como registrar a adaptação em um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adaptação de cada projeto é decidida no início (entre a abertura/kickoff gerencial e o fechamento do plano) e registrada como parte do planejamento do projeto, por meio do Registro de Adaptação do Processo (associado à Gerência de Projetos — GPR).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registro indica, para cada eixo aplicável: a decisão tomada, a justificativa e o responsável pela aprovação. As adaptações são revisadas caso o contexto do projeto mude de forma significativa ao longo da execução.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Exemplo de aplicação (caso real)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Um projeto de desenvolvimento de </w:t>
      </w:r>
      <w:r>
        <w:rPr>
          <w:rFonts w:ascii="Calibri" w:hAnsi="Calibri"/>
          <w:b/>
          <w:i w:val="0"/>
          <w:sz w:val="22"/>
        </w:rPr>
        <w:t>API sem interface de usuário</w:t>
      </w:r>
      <w:r>
        <w:rPr>
          <w:rFonts w:ascii="Calibri" w:hAnsi="Calibri"/>
          <w:b w:val="0"/>
          <w:i w:val="0"/>
          <w:sz w:val="22"/>
        </w:rPr>
        <w:t xml:space="preserve"> é adaptado da seguinte forma: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Dispensado:</w:t>
      </w:r>
      <w:r>
        <w:rPr>
          <w:rFonts w:ascii="Calibri" w:hAnsi="Calibri"/>
          <w:b w:val="0"/>
          <w:i w:val="0"/>
          <w:sz w:val="22"/>
        </w:rPr>
        <w:t xml:space="preserve"> design de UX/UI (wireframe e protótipo), por não haver front-end.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Mantido:</w:t>
      </w:r>
      <w:r>
        <w:rPr>
          <w:rFonts w:ascii="Calibri" w:hAnsi="Calibri"/>
          <w:b w:val="0"/>
          <w:i w:val="0"/>
          <w:sz w:val="22"/>
        </w:rPr>
        <w:t xml:space="preserve"> abertura formal, requisitos validados, design técnico (arquitetura, modelo de dados, integrações) avaliado antes da construção, Definição de Pronto, homologação, aprovação do cliente e encerramento formal.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decisão e a justificativa ("projeto sem front-end — UX/UI não se aplica") são registradas no Registro de Adaptação do Processo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Documentos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POL-ORG-001 — Política Organizacional de Processos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Processo de Gerência de Projetos (GPR) e seu Registro de Adaptação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CONV-ORG-001 — Convenção de Nomenclatura e Versionamento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apoia o resultado </w:t>
      </w:r>
      <w:r>
        <w:rPr>
          <w:rFonts w:ascii="Calibri" w:hAnsi="Calibri"/>
          <w:b/>
          <w:i w:val="0"/>
          <w:sz w:val="22"/>
        </w:rPr>
        <w:t>GPC 2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Processos (GPC)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GPC 2 — diretrizes de adaptação do processo-padrão organizacional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2 (princípio da adaptação / regra de tailoring); Seção 3 (pontos de controle obrigatórios não adaptáveis); Seção 4 (eixos de adaptação); Seção 5 (registro da adaptação no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guia de adaptação do processo-padrão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de nomenclatura de fase conforme o novo fluxo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eixo de adaptação de cadência de entrega e ambiente de stage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19/01/2026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PRO-GPC-001</w:t>
    </w:r>
    <w:r>
      <w:tab/>
    </w:r>
    <w:r>
      <w:rPr>
        <w:rFonts w:ascii="Calibri" w:hAnsi="Calibri"/>
        <w:color w:val="555555"/>
        <w:sz w:val="18"/>
      </w:rPr>
      <w:t>Gerência de Processos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