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AQUISIÇÃO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PRO-AQU-001   ·   Versão Data   ·   15/03/2026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PRO-AQU-001 — Processo de Aquisição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15/03/2026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processo define como a Timeware conduz a </w:t>
      </w:r>
      <w:r>
        <w:rPr>
          <w:rFonts w:ascii="Calibri" w:hAnsi="Calibri"/>
          <w:b/>
          <w:i w:val="0"/>
          <w:sz w:val="22"/>
        </w:rPr>
        <w:t>aquisição de produtos e serviços de software de terceiros</w:t>
      </w:r>
      <w:r>
        <w:rPr>
          <w:rFonts w:ascii="Calibri" w:hAnsi="Calibri"/>
          <w:b w:val="0"/>
          <w:i w:val="0"/>
          <w:sz w:val="22"/>
        </w:rPr>
        <w:t xml:space="preserve"> quando ela ocorre em um projeto — desde a definição de critérios e seleção do fornecedor até o monitoramento do acordo e a revisão técnica das entregas.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Aplicabilidade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aquisição ocorre quando a Timeware </w:t>
      </w:r>
      <w:r>
        <w:rPr>
          <w:rFonts w:ascii="Calibri" w:hAnsi="Calibri"/>
          <w:b/>
          <w:i w:val="0"/>
          <w:sz w:val="22"/>
        </w:rPr>
        <w:t>contrata um terceiro para entregar parte do produto ou do trabalho de um projeto</w:t>
      </w:r>
      <w:r>
        <w:rPr>
          <w:rFonts w:ascii="Calibri" w:hAnsi="Calibri"/>
          <w:b w:val="0"/>
          <w:i w:val="0"/>
          <w:sz w:val="22"/>
        </w:rPr>
        <w:t>, com aquele terceiro respondendo pela entrega (por exemplo, subcontratação de desenvolvimento, componentes ou serviços técnicos que integram a entrega ao cliente).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Não</w:t>
      </w:r>
      <w:r>
        <w:rPr>
          <w:rFonts w:ascii="Calibri" w:hAnsi="Calibri"/>
          <w:b w:val="0"/>
          <w:i w:val="0"/>
          <w:sz w:val="22"/>
        </w:rPr>
        <w:t xml:space="preserve"> são consideradas aquisição, para fins deste processo: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aquisição de software de prateleira, licenças e serviços de infraestrutura/nuvem;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contratação de profissionais que atuam </w:t>
      </w:r>
      <w:r>
        <w:rPr>
          <w:rFonts w:ascii="Calibri" w:hAnsi="Calibri"/>
          <w:b/>
          <w:i w:val="0"/>
          <w:sz w:val="22"/>
        </w:rPr>
        <w:t>como parte da equipe da Timeware</w:t>
      </w:r>
      <w:r>
        <w:rPr>
          <w:rFonts w:ascii="Calibri" w:hAnsi="Calibri"/>
          <w:b w:val="0"/>
          <w:i w:val="0"/>
          <w:sz w:val="22"/>
        </w:rPr>
        <w:t>, sob gestão da organização (tratados como recursos próprios, em GPR e CAP).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processo é aplicado </w:t>
      </w:r>
      <w:r>
        <w:rPr>
          <w:rFonts w:ascii="Calibri" w:hAnsi="Calibri"/>
          <w:b/>
          <w:i w:val="0"/>
          <w:sz w:val="22"/>
        </w:rPr>
        <w:t>somente aos projetos em que há aquisição</w:t>
      </w:r>
      <w:r>
        <w:rPr>
          <w:rFonts w:ascii="Calibri" w:hAnsi="Calibri"/>
          <w:b w:val="0"/>
          <w:i w:val="0"/>
          <w:sz w:val="22"/>
        </w:rPr>
        <w:t xml:space="preserve"> conforme definido acima. Em projetos sem aquisição, o processo é registrado como não aplicável na adaptação do processo do projeto (GUIA-GPC-001).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Critérios de seleção e solicitação de propostas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Antes de adquirir, a Timeware estabelece os </w:t>
      </w:r>
      <w:r>
        <w:rPr>
          <w:rFonts w:ascii="Calibri" w:hAnsi="Calibri"/>
          <w:b/>
          <w:i w:val="0"/>
          <w:sz w:val="22"/>
        </w:rPr>
        <w:t>critérios de avaliação de fornecedores</w:t>
      </w:r>
      <w:r>
        <w:rPr>
          <w:rFonts w:ascii="Calibri" w:hAnsi="Calibri"/>
          <w:b w:val="0"/>
          <w:i w:val="0"/>
          <w:sz w:val="22"/>
        </w:rPr>
        <w:t>, que podem incluir: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capacidade técnica e experiência comprovada;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preço e condições comerciais;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de entrega;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qualidade e referências;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aderência aos requisitos técnicos e de segurança.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Independentemente das características do fornecimento, qualquer fornecedor deve atender às seguintes condições mínimas de qualificação antes da seleção: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mínimo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Capacidade técnica comprovada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Apresentar portfólio ou referências de entregas equivalentes ou superiores ao escopo da aquisição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Regularidade comercial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Empresa regularmente constituída, com CNPJ ativo (ou equivalente para pessoa física)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Conformidade com requisitos técnicos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Capacidade demonstrada de atender aos requisitos técnicos e de segurança do fornecimento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Acordo com os critérios de aceitação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Anuência expressa com os critérios de aceite antes da formalização do acordo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Com base nos critérios, é elaborada a </w:t>
      </w:r>
      <w:r>
        <w:rPr>
          <w:rFonts w:ascii="Calibri" w:hAnsi="Calibri"/>
          <w:b/>
          <w:i w:val="0"/>
          <w:sz w:val="22"/>
        </w:rPr>
        <w:t>solicitação de proposta</w:t>
      </w:r>
      <w:r>
        <w:rPr>
          <w:rFonts w:ascii="Calibri" w:hAnsi="Calibri"/>
          <w:b w:val="0"/>
          <w:i w:val="0"/>
          <w:sz w:val="22"/>
        </w:rPr>
        <w:t>, descrevendo o que se pretende adquirir, os requisitos e as condições.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Avaliação e seleção do fornecedor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propostas recebidas são avaliadas segundo os critérios definidos, de forma objetiva (recomenda-se o uso do processo de Gerência de Decisões — PRO-GDE-001 — para a comparação das alternativas). O fornecedor selecionado e a justificativa da escolha são registrados.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Acordo e monitoramento do fornecedor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Com o fornecedor selecionado, estabelece-se um </w:t>
      </w:r>
      <w:r>
        <w:rPr>
          <w:rFonts w:ascii="Calibri" w:hAnsi="Calibri"/>
          <w:b/>
          <w:i w:val="0"/>
          <w:sz w:val="22"/>
        </w:rPr>
        <w:t>acordo</w:t>
      </w:r>
      <w:r>
        <w:rPr>
          <w:rFonts w:ascii="Calibri" w:hAnsi="Calibri"/>
          <w:b w:val="0"/>
          <w:i w:val="0"/>
          <w:sz w:val="22"/>
        </w:rPr>
        <w:t xml:space="preserve"> (contrato) que define escopo, entregas, prazos, critérios de aceitação e responsabilidades.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Durante a vigência, o desempenho do fornecedor é </w:t>
      </w:r>
      <w:r>
        <w:rPr>
          <w:rFonts w:ascii="Calibri" w:hAnsi="Calibri"/>
          <w:b/>
          <w:i w:val="0"/>
          <w:sz w:val="22"/>
        </w:rPr>
        <w:t>monitorado</w:t>
      </w:r>
      <w:r>
        <w:rPr>
          <w:rFonts w:ascii="Calibri" w:hAnsi="Calibri"/>
          <w:b w:val="0"/>
          <w:i w:val="0"/>
          <w:sz w:val="22"/>
        </w:rPr>
        <w:t xml:space="preserve"> quanto ao cumprimento do acordo — prazos, escopo e qualidade das entregas —, com registro do acompanhamento. Desvios são tratados conforme o acordo.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Revisão técnica das entregas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entregas do fornecedor passam por </w:t>
      </w:r>
      <w:r>
        <w:rPr>
          <w:rFonts w:ascii="Calibri" w:hAnsi="Calibri"/>
          <w:b/>
          <w:i w:val="0"/>
          <w:sz w:val="22"/>
        </w:rPr>
        <w:t>revisão técnica</w:t>
      </w:r>
      <w:r>
        <w:rPr>
          <w:rFonts w:ascii="Calibri" w:hAnsi="Calibri"/>
          <w:b w:val="0"/>
          <w:i w:val="0"/>
          <w:sz w:val="22"/>
        </w:rPr>
        <w:t>, verificando a aderência aos requisitos e aos critérios de aceitação antes de serem incorporadas ao produto. A revisão é documentada, e problemas identificados são tratados com o fornecedor até a conformidade.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 a aquisição e o acordo com o fornecedor.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a seleção, o acordo e o monitoramento do fornecedor no projeto.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 critérios técnicos; conduz a revisão técnica das entregas.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Backoffice (Jurídico/Contratos)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Apoia a formalização contratual do acordo.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GUIA-GPC-001 — Guia de Adaptação do Processo-Padrão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PRO-GDE-001 — Processo de Gerência de Decisões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EST-GPC-002 — Estratégia de Gerência de Riscos e Oportunidades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Aquisição (AQU)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1 — necessidades de aquisição e critérios de seleção de fornecedores definidos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2 — fornecedor selecionado a partir da avaliação das propostas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3 — acordo/contrato estabelecido e desempenho do fornecedor monitorado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4 — entregas do fornecedor revisadas tecnicamente e aceitas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aplicabilidade deste processo aos projetos da avaliação está sujeita a confirmação com a equipe avaliadora; o documento é mantido na biblioteca de processos da organização.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processo de aquisição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15/03/2026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dos critérios mínimos de qualificação de fornecedores (§3)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PRO-AQU-001</w:t>
    </w:r>
    <w:r>
      <w:tab/>
    </w:r>
    <w:r>
      <w:rPr>
        <w:rFonts w:ascii="Calibri" w:hAnsi="Calibri"/>
        <w:color w:val="555555"/>
        <w:sz w:val="18"/>
      </w:rPr>
      <w:t>Aquisição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