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back-end/worker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agente de captura e serviços de retaguarda;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da captura; o cliente valida resultados e aceita as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~586 h estimadas, ~9 meses, dois projetos correlatos (id 213 EPROC e id 256 CNJ)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acompanhada por horas/cards no ClickUp; backlog modelado retroativamente em sprints e story points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devolutivas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AASP; resultados comunicados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havia ambiente de Elasticsearch dedicado para testes; validação por repetição do mesmo processo na fila sem impacto no índice de produção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organizados por fluxo e fase (ver VV-AASPCNJ01-001)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e REL-VV-AASPCNJ01-001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(REQ-AASPCNJ01-001)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Plano de Projeto aprovado pelo cliente (baseline) — a registrar no encerramento (projeto em execução)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— Onda 3 (encerramento previsto 30/06/2026)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dois pontos em aberto referem-se a marcos de encerramento e serão registrados ao final do projeto (TAE-AASPCNJ01-001 e a ata de aceite), conforme o estágio atual.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Lead) e Abraão Oliveira (Gerente de Projeto)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processo-padrão ao projeto.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