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CHANGE REQUEST — ESCOPO ADICIONAL DA FASE 5 (SEGREDO DE JUSTIÇA POR INSTÂNCIA E TRATAMENTO DE RETORNOS)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CR-AASPCNJ01-002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CR-AASPCNJ01-002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(controle de mudanças — 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Descrição da mudança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Incluir, na Fase 5, o controle de segredo de justiça por instância (campo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>), o tratamento granular dos retornos das APIs parceiras (inválido, vazio, erro total/parcial) e o registro de erro por instância (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 xml:space="preserve">), além do desmembramento do </w:t>
      </w:r>
      <w:r>
        <w:rPr>
          <w:rFonts w:ascii="Courier New" w:hAnsi="Courier New"/>
          <w:b w:val="0"/>
          <w:i w:val="0"/>
          <w:color w:val="333333"/>
          <w:sz w:val="20"/>
        </w:rPr>
        <w:t>RunUpdater</w:t>
      </w:r>
      <w:r>
        <w:rPr>
          <w:rFonts w:ascii="Calibri" w:hAnsi="Calibri"/>
          <w:b w:val="0"/>
          <w:i w:val="0"/>
          <w:sz w:val="22"/>
        </w:rPr>
        <w:t xml:space="preserve"> para priorização.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operação real exigiu granularidade por instância (um processo pode estar em segredo ou falhar em uma instância e não em outra). Esse escopo adicional, acordado com o cliente, é a origem do atraso de ~30 dias em relação ao prazo original de desenvolvimento (até a Sprint 8 / 02/05), absorvido pelo time.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Análise de impacto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Ampliação acordada — segredo por instância, tratamento de retornos das parceiras e priorização do RunUpdater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de ~30 dias vs. prazo original (dev até 02/05), absorvido — sem custo adicional ao cliente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/ 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Neutro — esforço adicional absorvido pelo time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Tratado — segredo sem cobertura (R-03) e erros parciais por instância (R-06) endereçados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Tipo de tratamento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Aditivo de escopo absorvido — esforço adicional sem custo extra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Troca de prioridade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Crédito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(cliente/PO)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GEST-AASPCNJ01 (aba Backlog/Acompanhamento); GDE-AASPCNJ01-001</w:t>
            </w:r>
          </w:p>
        </w:tc>
      </w:tr>
    </w:tbl>
    <w:p>
      <w:pPr>
        <w:spacing w:before="0" w:after="160"/>
      </w:pPr>
    </w:p>
    <w:p>
      <w:r>
        <w:rPr>
          <w:b/>
        </w:rPr>
        <w:t>6. Reflexo no projeto</w:t>
      </w:r>
    </w:p>
    <w:p>
      <w:r>
        <w:t>A mudança está refletida na Planilha de Gestão GEST-AASPCNJ01 (aba Change Requests), na Matriz de Rastreabilidade (RF07–RF12) e na baseline de configuração (GCO-AASPCNJ01-001). O esforço adicional foi absorvido na Fase 5; o atraso de ~30 dias foi acordado com o cliente (ver RAC-AASPCNJ01-001 e MED-AASPCNJ01-001).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(Gerente de Projeto)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 — aditivo da Fase 5.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CR-AASPCNJ01-002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