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INTEGRAÇÃO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ITP-AASPCNJ01-001   ·   Versão 1.1   ·   17/06/2026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Componentes a integrar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CapturaServer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Serviço Windows que identifica NUPs pendentes e os enfileira no RabbitMQ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Workers que consomem a fila, consultam as fontes e enviam resultados via webhook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AndamentosProcessuais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REST interna que serializa para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IModelElastic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indexa no Elasticsearch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Interfaces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Tipo/contrato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Enfileiramento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CapturaServer ↔ RabbitMQ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Mensagem com NUP (fila unificada)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 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 ↔ API DataJud/CNJ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REST, autenticação Bearer (token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PonteAPI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 TJSP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 ↔ Portais EPROC/ESAJ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Crawler Puppeteer (navegador headless)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Fallback parceiras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 ↔ APIs Solucionário/Botmax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(por ordem de prioridade)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Gravação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 ↔ API AndamentosProcessuais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→ indexação no Elasticsearch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Estratégia e ordem de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integração foi entregue de forma incremental: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EPROC/ESAJ (TJSP)</w:t>
      </w:r>
      <w:r>
        <w:rPr>
          <w:rFonts w:ascii="Calibri" w:hAnsi="Calibri"/>
          <w:b w:val="0"/>
          <w:i w:val="0"/>
          <w:sz w:val="22"/>
        </w:rPr>
        <w:t xml:space="preserve"> — primeira integração (Fase 2), cobrindo o tribunal de maior volume.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DataJud/CNJ</w:t>
      </w:r>
      <w:r>
        <w:rPr>
          <w:rFonts w:ascii="Calibri" w:hAnsi="Calibri"/>
          <w:b w:val="0"/>
          <w:i w:val="0"/>
          <w:sz w:val="22"/>
        </w:rPr>
        <w:t xml:space="preserve"> — fonte primária universal (Fase 4), com roteamento por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 xml:space="preserve"> e fila unificada.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Fallback e desligamento de parceiras</w:t>
      </w:r>
      <w:r>
        <w:rPr>
          <w:rFonts w:ascii="Calibri" w:hAnsi="Calibri"/>
          <w:b w:val="0"/>
          <w:i w:val="0"/>
          <w:sz w:val="22"/>
        </w:rPr>
        <w:t xml:space="preserve"> — integração das parceiras como fallback final e rotina de desligamento de NUP após captura via CNJ.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Cada mensagem da fila contém o NUP e as informações para o worker determinar a fonte. Em retorno vazio/aguardando das parceiras, o worker publica um novo item ao final da fila para revisita posterior.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Ambiente de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GitLab (controle de versão e pipeline CI/CD); hospedagem dos workers e APIs internas em AWS; RabbitMQ como broker de mensagens. Ver GCO-AASPCNJ01-001.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Critérios de prontidão para integração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Code review aprovado (mínimo 1 revisor além do autor) antes do merge em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(ver REV-AASPCNJ01-001).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Testes de fluxo executados para o cenário integrado.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Tratamento de erro por instância implementado e registrado nas tabelas de controle.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Testes do produto integrado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fluxo integrado (consulta → autenticação → recebimento do JSON → webhook → indexação) foi validado por testes de integração e de fluxo (E2E), incluindo cenários de sucesso, fallback e erro parcial por instância. Detalhes em VV-AASPCNJ01-001 e REL-VV-AASPCNJ01-001. Mecanismo de retry no envio ao webhook implementado na Fase 5 para aumentar a resiliência.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Entrega e material de apoio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entrega em produção segue o rito de GMUD: montagem de pacote de publicação, validação em homologação e agendamento com a Infraestrutura. Material de apoio: coleções Postman da API CNJ e scripts de banco, versionados no GitLab (pasta </w:t>
      </w:r>
      <w:r>
        <w:rPr>
          <w:rFonts w:ascii="Courier New" w:hAnsi="Courier New"/>
          <w:b w:val="0"/>
          <w:i w:val="0"/>
          <w:color w:val="333333"/>
          <w:sz w:val="20"/>
        </w:rPr>
        <w:t>/docs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/db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(Tech Lead / DevOps)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inicial.</w:t>
            </w:r>
          </w:p>
        </w:tc>
      </w:tr>
      <w:tr>
        <w:tc>
          <w:tcPr>
            <w:tcW w:type="dxa" w:w="2225"/>
          </w:tcPr>
          <w:p>
            <w:r>
              <w:t>1.1</w:t>
            </w:r>
          </w:p>
        </w:tc>
        <w:tc>
          <w:tcPr>
            <w:tcW w:type="dxa" w:w="2225"/>
          </w:tcPr>
          <w:p>
            <w:r>
              <w:t>17/06/2026</w:t>
            </w:r>
          </w:p>
        </w:tc>
        <w:tc>
          <w:tcPr>
            <w:tcW w:type="dxa" w:w="2225"/>
          </w:tcPr>
          <w:p>
            <w:r>
              <w:t>Cézar Hiraki Velázquez (Tech Lead / DevOps)</w:t>
            </w:r>
          </w:p>
        </w:tc>
        <w:tc>
          <w:tcPr>
            <w:tcW w:type="dxa" w:w="2225"/>
          </w:tcPr>
          <w:p>
            <w:r>
              <w:t>Plataforma de versionamento corrigida (Azure DevOps → GitLab); legenda do pipeline alinhada ao conteúdo real (Pipeline #236 no GitLab).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Evidências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itp-rabbitmq-fila.png</w:t>
      </w:r>
      <w:r>
        <w:rPr>
          <w:rFonts w:ascii="Calibri" w:hAnsi="Calibri"/>
          <w:b w:val="0"/>
          <w:i w:val="0"/>
          <w:sz w:val="22"/>
        </w:rPr>
        <w:t xml:space="preserve"> — Fila RabbitMQ unificada (WorkerAndamentos)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itp-webhook-indexacao.png</w:t>
      </w:r>
      <w:r>
        <w:rPr>
          <w:rFonts w:ascii="Calibri" w:hAnsi="Calibri"/>
          <w:b w:val="0"/>
          <w:i w:val="0"/>
          <w:sz w:val="22"/>
        </w:rPr>
        <w:t xml:space="preserve"> — Webhook de indexação multi-fonte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swagger_ui_1.png</w:t>
      </w:r>
      <w:r>
        <w:rPr>
          <w:rFonts w:ascii="Calibri" w:hAnsi="Calibri"/>
          <w:b w:val="0"/>
          <w:i w:val="0"/>
          <w:sz w:val="22"/>
        </w:rPr>
        <w:t xml:space="preserve"> — Swagger da API — visão 1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swagger_ui_2.png</w:t>
      </w:r>
      <w:r>
        <w:rPr>
          <w:rFonts w:ascii="Calibri" w:hAnsi="Calibri"/>
          <w:b w:val="0"/>
          <w:i w:val="0"/>
          <w:sz w:val="22"/>
        </w:rPr>
        <w:t xml:space="preserve"> — Swagger da API — visão 2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swagger_ui_3.png</w:t>
      </w:r>
      <w:r>
        <w:rPr>
          <w:rFonts w:ascii="Calibri" w:hAnsi="Calibri"/>
          <w:b w:val="0"/>
          <w:i w:val="0"/>
          <w:sz w:val="22"/>
        </w:rPr>
        <w:t xml:space="preserve"> — Swagger da API — visão 3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swagger_ui_4.png</w:t>
      </w:r>
      <w:r>
        <w:rPr>
          <w:rFonts w:ascii="Calibri" w:hAnsi="Calibri"/>
          <w:b w:val="0"/>
          <w:i w:val="0"/>
          <w:sz w:val="22"/>
        </w:rPr>
        <w:t xml:space="preserve"> — Swagger da API — visão 4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swagger_ui_full.png</w:t>
      </w:r>
      <w:r>
        <w:rPr>
          <w:rFonts w:ascii="Calibri" w:hAnsi="Calibri"/>
          <w:b w:val="0"/>
          <w:i w:val="0"/>
          <w:sz w:val="22"/>
        </w:rPr>
        <w:t xml:space="preserve"> — Swagger da API — completo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itp-postman-cnj.json</w:t>
      </w:r>
      <w:r>
        <w:rPr>
          <w:rFonts w:ascii="Calibri" w:hAnsi="Calibri"/>
          <w:b w:val="0"/>
          <w:i w:val="0"/>
          <w:sz w:val="22"/>
        </w:rPr>
        <w:t xml:space="preserve"> — Coleção Postman da API CNJ (anexo)</w:t>
      </w:r>
    </w:p>
    <w:p>
      <w:pPr>
        <w:pStyle w:val="ListBullet"/>
      </w:pPr>
      <w:r>
        <w:t>itp-pipeline-cicd.png — Pipeline CI/CD #236 no GitLab (passou): stages build e test</w:t>
      </w:r>
    </w:p>
    <w:p>
      <w:pPr>
        <w:pStyle w:val="Heading1"/>
      </w:pPr>
      <w:r>
        <w:t>Evidências (anexos)</w:t>
      </w:r>
    </w:p>
    <w:p>
      <w:r>
        <w:t>Fila RabbitMQ unificada (WorkerAndamentos)</w:t>
      </w:r>
    </w:p>
    <w:p>
      <w:r>
        <w:drawing>
          <wp:inline xmlns:a="http://schemas.openxmlformats.org/drawingml/2006/main" xmlns:pic="http://schemas.openxmlformats.org/drawingml/2006/picture">
            <wp:extent cx="5400000" cy="155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p-rabbitmq-fi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5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Webhook de indexação multi-fonte</w:t>
      </w:r>
    </w:p>
    <w:p>
      <w:r>
        <w:drawing>
          <wp:inline xmlns:a="http://schemas.openxmlformats.org/drawingml/2006/main" xmlns:pic="http://schemas.openxmlformats.org/drawingml/2006/picture">
            <wp:extent cx="5400000" cy="24722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p-webhook-index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Swagger da API — visão 1</w:t>
      </w:r>
    </w:p>
    <w:p>
      <w:r>
        <w:drawing>
          <wp:inline xmlns:a="http://schemas.openxmlformats.org/drawingml/2006/main" xmlns:pic="http://schemas.openxmlformats.org/drawingml/2006/picture">
            <wp:extent cx="5400000" cy="38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ui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Swagger da API — visão 2</w:t>
      </w:r>
    </w:p>
    <w:p>
      <w:r>
        <w:drawing>
          <wp:inline xmlns:a="http://schemas.openxmlformats.org/drawingml/2006/main" xmlns:pic="http://schemas.openxmlformats.org/drawingml/2006/picture">
            <wp:extent cx="5400000" cy="395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ui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Swagger da API — visão 3</w:t>
      </w:r>
    </w:p>
    <w:p>
      <w:r>
        <w:drawing>
          <wp:inline xmlns:a="http://schemas.openxmlformats.org/drawingml/2006/main" xmlns:pic="http://schemas.openxmlformats.org/drawingml/2006/picture">
            <wp:extent cx="5400000" cy="395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ui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Swagger da API — visão 4</w:t>
      </w:r>
    </w:p>
    <w:p>
      <w:r>
        <w:drawing>
          <wp:inline xmlns:a="http://schemas.openxmlformats.org/drawingml/2006/main" xmlns:pic="http://schemas.openxmlformats.org/drawingml/2006/picture">
            <wp:extent cx="5400000" cy="395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ui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Swagger da API — completo</w:t>
      </w:r>
    </w:p>
    <w:p>
      <w:r>
        <w:drawing>
          <wp:inline xmlns:a="http://schemas.openxmlformats.org/drawingml/2006/main" xmlns:pic="http://schemas.openxmlformats.org/drawingml/2006/picture">
            <wp:extent cx="5400000" cy="187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ui_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Coleção Postman da API CNJ (anexo)</w:t>
      </w:r>
    </w:p>
    <w:p>
      <w:r>
        <w:t>[anexo não-imagem: itp-postman-cnj.json — ver pasta evidencias/]</w:t>
      </w:r>
    </w:p>
    <w:p>
      <w:r>
        <w:t>Pipeline CI/CD #236 no GitLab (passou) — stages build e test verdes; commit do hotpatch (tag v2.0.1)</w:t>
      </w:r>
    </w:p>
    <w:p>
      <w:r>
        <w:drawing>
          <wp:inline xmlns:a="http://schemas.openxmlformats.org/drawingml/2006/main" xmlns:pic="http://schemas.openxmlformats.org/drawingml/2006/picture">
            <wp:extent cx="5400000" cy="3127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p-pipeline-cic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73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ITP-AASPCNJ01-001</w:t>
    </w:r>
    <w:r>
      <w:tab/>
    </w:r>
    <w:r>
      <w:rPr>
        <w:rFonts w:ascii="Calibri" w:hAnsi="Calibri"/>
        <w:color w:val="555555"/>
        <w:sz w:val="18"/>
      </w:rPr>
      <w:t>Integração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