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RELATÓRIO DE ACOMPANHAMENTO (STATUS REPORT)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RAC-AASPCNJ01-001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Período de 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Junho/2026 — Fase 6 (Implantação e Complementos)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do relatório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Destinatários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(Representante do Cliente — AASP); Patrocinador interno (Timeware)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Situação geral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Desenvolvimento concluído (Fases 1–5); o projeto está em implantação em produção (Fase 6), com encerramento previsto para 30/06/2026.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Comentário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Prazo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🟡 Atenção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Desenvolvimento concluído em 01/06/2026 (~30 dias após o alvo de 02/05), por escopo adicional acordado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Escopo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🟡 Em mudança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 de 2ª instância EPROC pausada e retomada em jun/2026 (CR-AASPCNJ01-001)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Risco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🟢 Sob controle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Travamento de fila corrigido; monitoramento ativo implantado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Qualidade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🟢 Dentro do esperado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 defeitos tratados; critérios de aceite validados por amostragem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Resumo do período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integração CNJ está concluída e validada (sucesso, fallback e erro parcial por instância). A operação migra progressivamente das APIs privadas para a fonte CNJ, com desligamento automático dos NUPs nas parceiras após a primeira captura. No período corrente, o foco é a montagem dos pacotes de GMUD, o deploy em produção e a retomada da captura de 2ª instância no EPROC.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Indicadores do período (destaque):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total realizado (parcial)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~624 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Economia mensal projetada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~R$ 14.670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Fases concluídas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de 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(backlog Jira)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 concluídas + 1 em andamento — ver GEST-AASPCNJ01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Entregas realizadas no período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/ valor para 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DataJud/CNJ (fonte primária)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nacional e custo R$ 0,01/processo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fallback (3 níveis)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Resiliência da captura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Desligamento automático nas parceiras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do duplo pagamento na migração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Controle de segredo de justiça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correto sem omissões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do travamento de fila (137 mil itens)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Estabilidade da operação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Planejado para o próximo período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/ marco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prevista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Deploy em produção (pacotes GMUD)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Agendamento com Infraestrutura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 de 2ª instância EPROC (retomada)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Retomada após conclusão da Fase 5 (CR-AASPCNJ01-001)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formal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TAE e ata de aceite (Onda 3)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Indicadores do projeto (acompanhamento)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 / referência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 atual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Tendência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estimado × realizado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10% desvio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+~6% (~624 h vs. 586 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➡️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Estabilidade da fila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Zero travamentos manuais/mês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Estável após correção da Fase 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⬆️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Economia de custo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R$ 12.500/mês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~R$ 14.670/mês projetado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⬆️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Diário de bordo (eventos e impactos)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Evento / motivo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Origem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Timeout após captcha Cloudflare (EPROC)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Externo (portal)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 de espera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(BUG-01)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 RabbitMQ acumulou 137 mil itens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Estabilização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(BUG-05/06)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Pausa da 2ª instância EPROC para priorizar CNJ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Acordo c/ cliente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Realocação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(CR-001)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Atividades de finalização e retomada da 2ª instância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curso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Pontos de atenção, riscos e plano de ação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Cobertura de segredo de justiça</w:t>
      </w:r>
      <w:r>
        <w:rPr>
          <w:rFonts w:ascii="Calibri" w:hAnsi="Calibri"/>
          <w:b w:val="0"/>
          <w:i w:val="0"/>
          <w:sz w:val="22"/>
        </w:rPr>
        <w:t xml:space="preserve"> — 🟡 Médio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Ponto:</w:t>
      </w:r>
      <w:r>
        <w:rPr>
          <w:rFonts w:ascii="Calibri" w:hAnsi="Calibri"/>
          <w:b w:val="0"/>
          <w:i w:val="0"/>
          <w:sz w:val="22"/>
        </w:rPr>
        <w:t xml:space="preserve"> o CNJ não retorna processos em segredo; alguns tribunais exigem credenciais específicas.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Risco:</w:t>
      </w:r>
      <w:r>
        <w:rPr>
          <w:rFonts w:ascii="Calibri" w:hAnsi="Calibri"/>
          <w:b w:val="0"/>
          <w:i w:val="0"/>
          <w:sz w:val="22"/>
        </w:rPr>
        <w:t xml:space="preserve"> instâncias sem atualização quando a credencial não está disponível.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Ação:</w:t>
      </w:r>
      <w:r>
        <w:rPr>
          <w:rFonts w:ascii="Calibri" w:hAnsi="Calibri"/>
          <w:b w:val="0"/>
          <w:i w:val="0"/>
          <w:sz w:val="22"/>
        </w:rPr>
        <w:t xml:space="preserve"> fallback por instância (EPROC/ESAJ ou parceiras com credencial); solicitação de credenciais aos associados via gerenciador.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Mudanças (change requests)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Abertura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 final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CR-AASPCNJ01-001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Pausa e retomada da captura de 2ª instância EPROC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Aprovada (acordada com o cliente)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780"/>
          </w:tcPr>
          <w:p>
            <w:r>
              <w:t>CR-AASPCNJ01-002</w:t>
            </w:r>
          </w:p>
        </w:tc>
        <w:tc>
          <w:tcPr>
            <w:tcW w:type="dxa" w:w="1780"/>
          </w:tcPr>
          <w:p>
            <w:r>
              <w:t>Aditivo da Fase 5: segredo de justiça por instância, tratamento de retornos das parceiras e priorização do RunUpdater</w:t>
            </w:r>
          </w:p>
        </w:tc>
        <w:tc>
          <w:tcPr>
            <w:tcW w:type="dxa" w:w="1780"/>
          </w:tcPr>
          <w:p>
            <w:r>
              <w:t>Mai/2026</w:t>
            </w:r>
          </w:p>
        </w:tc>
        <w:tc>
          <w:tcPr>
            <w:tcW w:type="dxa" w:w="1780"/>
          </w:tcPr>
          <w:p>
            <w:r>
              <w:t>Aprovada (acordada com o cliente)</w:t>
            </w:r>
          </w:p>
        </w:tc>
        <w:tc>
          <w:tcPr>
            <w:tcW w:type="dxa" w:w="1780"/>
          </w:tcPr>
          <w:p>
            <w:r>
              <w:t>—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Decisões necessárias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necessária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 desejado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Confirmação da data de aceite formal e do go-live em produção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Cadência de reporte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Definição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Periodicidade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 marco/fase, com reuniões de alinhamento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Canal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Reunião de alinhamento + devolutivas ao cliente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(Gerente de Projeto)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acompanhamento (Fase 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Marcos Correa Fernandez Turnes (AASP)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Marcos Correa Fernandez Turnes (AASP)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RAC-AASPCNJ01-001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