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 em múltiplos tribunais. A Timeware opera o sistema de captura que consulta as fontes dos tribunais e persiste os dados na base da AASP, indexando-os em Elasticsearch. O modelo de captura vigente apresentava instabilidade dos crawlers, cobertura incompleta, custo elevado (~R$ 16.500/mês) e arquitetura monolítica sem observabilidade. A fila de processamento chegou a acumular 137 mil itens não processados. O objetivo é reconstruir a captura com base em um agente nativo EPROC/ESAJ para o TJSP e na API DataJud/CNJ como fonte primária universal, com roteamento por processo e fallback estruturado.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ampla, custo reduzido e estabilidade da 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Observabilidade, reprocessamento seletivo e escalonamento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identifica NUPs pendentes e os enfileira no RabbitMQ)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(workers que leem a fila, consultam as fontes e enviam os resultados à API AndamentosProcessuais via webhook). O roteamento de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Projeto de back-end,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Consultar a API DataJud/CNJ como fonte primária para todos os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Instabilidade de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Capturar via engine EPROC/ESAJ para processos do TJSP quando a API CNJ não retornar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monolítica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Ler a fila RabbitMQ de forma unificada,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identificar e desligar o processo nas APIs parceiras, registrando 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o token Bearer da API CNJ de forma compartilhada entre instâncias, com renovação automática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rastrear a fonte de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fallback para APIs parceiras quando CNJ e EPROC/ESAJ falharem, por ordem de 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todos os retornos das parceiras: NUP inválido, vazio/aguardando, erro total e 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erros detalhados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das tabelas de controle,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registrar processos em segredo de justiça por instância, diferenciando acessíveis de restritas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os dados capturados à API AndamentosProcessuais via webhook para indexação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CapturaServer deve enfileirar todos os processos no RabbitMQ de forma unificada, independente do tribunal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Suportar múltiplos workers concorrentes na mesma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conflito de token ou de reserva de NUP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Retomar o processamento após travamento de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intervenção manual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todos os estados de captura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Permitir adição de novas fontes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refatoração do fluxo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e renovar o token Bearer da CNJ de forma centralizada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em logs de aplicação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o custo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≥ R$ 150.000 anuais vs. modelo anterior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 (fallback obrigatório).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sem ambiente de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declarada e custo de R$ 0,01/processo.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fornecem as credenciais necessárias via gerenciador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(RF-01, RF-05, RF-11)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com o time e validação de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e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fluxo e 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(ver VV-AASPCNJ01-001 e REL-VV-AASPCNJ01-001)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dos objetivos de cobertura, custo e estabilidade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na apresentação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Lead) e Abraão Oliveira (Gerente de Projeto)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Especificação inicial dos requisitos.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