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TAP-AASPCNJ01-001   ·   Versão 1.0   ·   01/10/2025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Reconstruir o modelo de captura de andamentos processuais da plataforma de monitoramento da AASP, substituindo a dependência de web scrapers frágeis e de APIs privadas pagas por uma arquitetura baseada em duas fontes complementares: (1) um agente de captura nativo para o TJSP via EPROC/ESAJ e (2) a API DataJud do Conselho Nacional de Justiça (CNJ) como fonte primária e universal de captura. O resultado esperado é uma operação de captura mais estável, com cobertura nacional, custo significativamente menor (economia projetada de ~R$ 176 mil anuais) e observabilidade adequada para reprocessamento e escalonamento.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macro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 (macro):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Agente de captura nativo para o TJSP via EPROC/ESAJ (engine Puppeteer headless).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- Integração com a API DataJud/CNJ como fonte primária de captura para todos os NUPs com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 nulo.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Roteamento inteligente de fonte por processo e estratégia de fallback em três níveis (CNJ → EPROC/ESAJ → APIs parceiras).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Enfileiramento unificado no RabbitMQ (independente do tribunal) e envio dos dados capturados à API AndamentosProcessuais via webhook.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Desligamento automático do processo nas APIs parceiras após captura bem-sucedida via CNJ, com log de desligamento.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Controle de segredo de justiça por instância processual.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Gestão centralizada do token Bearer da API CNJ com renovação automática compartilhada entre workers.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O front-end de consulta do associado e o índice Elasticsearch já existentes (a solução integra-se a eles via API AndamentosProcessuais, mas não os desenvolve).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Novos módulos da plataforma AASP fora do fluxo de captura.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(Representante do Cliente)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requisitos, homologação e aceite das entregas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(Tech Lead / DevOps / Arquiteto)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com o cliente, decisões técnicas e gestão das entregas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interno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Patrocínio do projeto e priorização de portfólio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Tech Lead / DevOps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Cézar Hiraki Velázquez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r>
              <w:t>Desenvolvedor Sênior (Principal)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r>
              <w:t>Raony Chagas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Desenvolvedor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Mateus Veloso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r>
              <w:t>Desenvolvedor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r>
              <w:t>Lucas Batista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Analista de 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Caroline Sousa</w:t>
            </w:r>
          </w:p>
        </w:tc>
      </w:tr>
      <w:tr>
        <w:tc>
          <w:tcPr>
            <w:tcW w:type="dxa" w:w="4451"/>
          </w:tcPr>
          <w:p>
            <w:r>
              <w:t>Auditor GQA (independente)</w:t>
            </w:r>
          </w:p>
        </w:tc>
        <w:tc>
          <w:tcPr>
            <w:tcW w:type="dxa" w:w="4451"/>
          </w:tcPr>
          <w:p>
            <w:r>
              <w:t>Jonathan Barbosa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Macroplanejamento (datas-alvo)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Data-alvo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Abertura / início (Fase 1 — Análise e Arquitetura)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desenvolvimento EPROC/ESAJ (Fases 2–3)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desenvolvimento CNJ (Fase 4)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e validação (Fase 5)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Implantação e complementos (Fase 6)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previsto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Agenda das próximas atividades (na abertura)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Estudo do comportamento do captcha Cloudflare nos portais do TJSP e estratégias de contorno.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da arquitetura da solução EPROC/ESAJ.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Preparação dos ambientes de homologação.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Premissas e restrições iniciais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DataJud/CNJ permanece disponível, com a cobertura de tribunais declarada e custo de R$ 0,01 por processo.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Associados com processos em segredo de justiça fornecem as credenciais necessárias quando solicitado.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DataJud/CNJ não retorna dados de processos em segredo de justiça, exigindo fallback obrigatório.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Diferentes tribunais exigem diferentes credenciais para acesso a processos em segredo (usuário/senha, certificado A1, QR Code).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Homologação realizada por amostragem, sem ambiente de Elasticsearch dedicado para testes.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abertura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foi aberto com o início da Fase 1 (Análise e Arquitetura) em 01/10/2025. O alinhamento técnico formal do fluxo de captura via API CNJ com o time ampliado está registrado em ATA-AASPCNJ01-001 (07/04/2026).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da Fase 1 (Análise e Arquitetura)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técnico — fluxo API CNJ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ATA-AASPCNJ01-001 (07/04/2026)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(Gerente de Projeto)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do projeto.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01/10/2025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01/10/2025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TAP-AASPCNJ01-001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