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REQ-AASP01-001 — DOCUMENTO DE REQUISITOS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REQ-AASP01-001   ·   Versão 1.2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AASP01 — Grupos de Usuários (Feature AG)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descreve os requisitos funcionais, não funcionais e regras de negócio do microsserviço </w:t>
      </w:r>
      <w:r>
        <w:rPr>
          <w:rFonts w:ascii="Calibri" w:hAnsi="Calibri"/>
          <w:b/>
          <w:i w:val="0"/>
          <w:sz w:val="22"/>
        </w:rPr>
        <w:t>ms.auxo.gruposusuarios</w:t>
      </w:r>
      <w:r>
        <w:rPr>
          <w:rFonts w:ascii="Calibri" w:hAnsi="Calibri"/>
          <w:b w:val="0"/>
          <w:i w:val="0"/>
          <w:sz w:val="22"/>
        </w:rPr>
        <w:t xml:space="preserve">, desenvolvido para o sistema Gerenciador da AASP como parte da Feature AG — Grupos de Usuários. Os endpoints citados refletem o controller real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(rota base </w:t>
      </w:r>
      <w:r>
        <w:rPr>
          <w:rFonts w:ascii="Courier New" w:hAnsi="Courier New"/>
          <w:b w:val="0"/>
          <w:i w:val="0"/>
          <w:color w:val="333333"/>
          <w:sz w:val="20"/>
        </w:rPr>
        <w:t>api/gerenciar/grupos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Glossário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Termo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Entidade que agrupa usuários do sistema, registrada no banco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auxo3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Usuário associado a um grupo, enviado na lista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GrupoDeUsuarios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payload do grupo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Papel de um usuário dentro de um grupo: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(0) ou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(1), conforme o enum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FuncaoUsuariosEnum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Envelope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Formato de resposta padrão da API: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 Sucesso, MensagemPublica, RetornaDados, HoraExecucao }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Exclusão/inativação lógica: registro marcado como inativo, sem remoção física do banco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auxo3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SQL Server principal do sistema Gerenciador da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temis3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Banco de dados SQL Server de integração, acessado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Requisitos Funcionais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Todos os endpoints usam a rota base </w:t>
      </w:r>
      <w:r>
        <w:rPr>
          <w:rFonts w:ascii="Courier New" w:hAnsi="Courier New"/>
          <w:b w:val="0"/>
          <w:i w:val="0"/>
          <w:color w:val="1A5276"/>
          <w:sz w:val="20"/>
        </w:rPr>
        <w:t>api/gerenciar/grupos</w:t>
      </w:r>
      <w:r>
        <w:rPr>
          <w:rFonts w:ascii="Calibri" w:hAnsi="Calibri"/>
          <w:b w:val="0"/>
          <w:i w:val="0"/>
          <w:color w:val="1A5276"/>
          <w:sz w:val="22"/>
        </w:rPr>
        <w:t>, apenas verbos GET/POST, e respondem no envelope padrão com HTTP 200 (sucesso) ou 400 (erro/validação).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Backlog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Criação de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(nome + lista de membros); validar unicidade do 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Listagem de grupos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(paginada) e consulta dos usuários de um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buscargrupoporid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Atualização de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(nome e membros) e ativação/desativação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ativardesativar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Exclusão de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com opção de notificar os membros (campo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NotificarMembros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da função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de um usuário no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alterarfuncaodousuario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Vinculação de usuário ao grupo pela lista de membros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remoção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removerusuario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Registro automático de auditoria em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operações de escrita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sincronização de vínculos na base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temis3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3)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Geração de relatório consolidado de grupos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≤ 500 ms para 95% das requisições em condições normais de carga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via JWT; comunicação exclusivamente por HTTPS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 de escrita devem ser rastreáveis via auditoria (entrega planejada na Sprint 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Stack obrigatória: .NET Framework 4.7.2 e Dapper; SQL Server como SGBD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mínima de 70% de testes unitários por módulo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Regras de Negócio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Regra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 nome do grupo deve ser único no banco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auxo3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tentativa de criação com nome duplicado retorna HTTP 400 com mensagem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 já existe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exclusão de grupo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pode notificar os membros do grupo quando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NotificarMembros = true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 função atribuída a um usuário no grupo deve pertencer ao enum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FuncaoUsuariosEnum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Os registros de auditoria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são imutáveis — não podem ser alterados ou excluídos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 sincronização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deve ser acionada após alteração de vínculo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Critérios de Aceite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RF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200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MensagemPublica="Grupo incluído com sucesso"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nome duplicado retorna HTTP 400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"Grupo já existe"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lista paginada (HTTP 200);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buscargrupoporid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os usuários do grupo (HTTP 200); parâmetro inválido retorna HTTP 400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200 com os dados atualizados;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ativardesativar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altera o status (ativo 0/1) e retorna HTTP 200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200 após a exclusão; notifica os membros quando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NotificarMembros = true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alterarfuncaodousuario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altera a função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>) do usuário e retorna HTTP 200; dados inválidos retornam HTTP 400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Vincular usuário (na lista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GrupoDeUsuarios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retornam HTTP 200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Toda operação de escrita gera registro de auditoria com usuário, timestamp e operação realizada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alteração de vínculo,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é chamado; falha gera log e não interrompe a operação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3)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Relatório consolidado de grupos disponível para consulta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Referências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Levantamento inicial dos requisitos (kickoff)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Refinamento dos requisitos para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dos endpoints e regras à API real (GerenciarGruposController)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