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REUNIÃO — VALIDAÇÃO DE HOMOLOGAÇÃO E PREPARAÇÃO PARA ENCERRAMENTO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ATA-AASPGOV01-003   ·   29/05/2026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Reunião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e revisão de homologação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 / contexto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 (AASPGOV01)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Local / meio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Videoconferência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Organização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DevOps / Arquiteto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Henry Komatsu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Jonathan Alves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Sponsor / Patrocinador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Pauta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Apresentação dos resultados da homologação executada em ambiente real.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Detalhamento das correções dos 5 defeitos identificados na Fase 4 (BUG-01 a BUG-05).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Verificação e validação formal dos critérios de aceite CA01 a CA07.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Preparação para o encerramento formal do projeto em 02/06/2026.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Discussões e definições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QA Jonathan Alves apresentou os resultados dos cinco cenários de teste (CT-01 a CT-05) executados em ambiente real durante a Fase 4 de Homologação. Todos os cenários foram aprovados após a aplicação das correções, cobrindo migração inicial sem duplicatas, fidelidade da hierarquia (projeto→Epic, atividade→Task, sub-atividade→Subtask), fidelidade de conteúdo, sincronização incremental de status e resiliência por desenvolvedor.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Tech Lead Cezar Hiraki detalhou as cinco correções realizadas. O BUG-01 referia-se ao envio direto do HTML dos campos de descrição do Sensr ao Jira, causando formatação inválida — corrigido com a implementação do </w:t>
      </w:r>
      <w:r>
        <w:rPr>
          <w:rFonts w:ascii="Courier New" w:hAnsi="Courier New"/>
          <w:b w:val="0"/>
          <w:i w:val="0"/>
          <w:color w:val="333333"/>
          <w:sz w:val="20"/>
        </w:rPr>
        <w:t>HtmlHelper</w:t>
      </w:r>
      <w:r>
        <w:rPr>
          <w:rFonts w:ascii="Calibri" w:hAnsi="Calibri"/>
          <w:b w:val="0"/>
          <w:i w:val="0"/>
          <w:sz w:val="22"/>
        </w:rPr>
        <w:t xml:space="preserve">, com os métodos </w:t>
      </w:r>
      <w:r>
        <w:rPr>
          <w:rFonts w:ascii="Courier New" w:hAnsi="Courier New"/>
          <w:b w:val="0"/>
          <w:i w:val="0"/>
          <w:color w:val="333333"/>
          <w:sz w:val="20"/>
        </w:rPr>
        <w:t>ToPlainText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ourier New" w:hAnsi="Courier New"/>
          <w:b w:val="0"/>
          <w:i w:val="0"/>
          <w:color w:val="333333"/>
          <w:sz w:val="20"/>
        </w:rPr>
        <w:t>ParseDescriptionHistory</w:t>
      </w:r>
      <w:r>
        <w:rPr>
          <w:rFonts w:ascii="Calibri" w:hAnsi="Calibri"/>
          <w:b w:val="0"/>
          <w:i w:val="0"/>
          <w:sz w:val="22"/>
        </w:rPr>
        <w:t xml:space="preserve">. O BUG-02 tratava de transições de status que falhavam silenciosamente quando o status-alvo não estava disponível no fluxo Jira — corrigido com consulta prévia via </w:t>
      </w:r>
      <w:r>
        <w:rPr>
          <w:rFonts w:ascii="Courier New" w:hAnsi="Courier New"/>
          <w:b w:val="0"/>
          <w:i w:val="0"/>
          <w:color w:val="333333"/>
          <w:sz w:val="20"/>
        </w:rPr>
        <w:t>GetTransitionsAsync</w:t>
      </w:r>
      <w:r>
        <w:rPr>
          <w:rFonts w:ascii="Calibri" w:hAnsi="Calibri"/>
          <w:b w:val="0"/>
          <w:i w:val="0"/>
          <w:sz w:val="22"/>
        </w:rPr>
        <w:t xml:space="preserve"> e log de aviso. O BUG-03 causava transições desnecessárias por comparação de status com diferenciação de maiúsculas e minúsculas — corrigido com </w:t>
      </w:r>
      <w:r>
        <w:rPr>
          <w:rFonts w:ascii="Courier New" w:hAnsi="Courier New"/>
          <w:b w:val="0"/>
          <w:i w:val="0"/>
          <w:color w:val="333333"/>
          <w:sz w:val="20"/>
        </w:rPr>
        <w:t>StringComparison.OrdinalIgnoreCase</w:t>
      </w:r>
      <w:r>
        <w:rPr>
          <w:rFonts w:ascii="Calibri" w:hAnsi="Calibri"/>
          <w:b w:val="0"/>
          <w:i w:val="0"/>
          <w:sz w:val="22"/>
        </w:rPr>
        <w:t xml:space="preserve">. O BUG-04 gerava erro na criação de issues no Jira quando labels continham espaços — corrigido com implementação do método </w:t>
      </w:r>
      <w:r>
        <w:rPr>
          <w:rFonts w:ascii="Courier New" w:hAnsi="Courier New"/>
          <w:b w:val="0"/>
          <w:i w:val="0"/>
          <w:color w:val="333333"/>
          <w:sz w:val="20"/>
        </w:rPr>
        <w:t>SanitizeLabel</w:t>
      </w:r>
      <w:r>
        <w:rPr>
          <w:rFonts w:ascii="Calibri" w:hAnsi="Calibri"/>
          <w:b w:val="0"/>
          <w:i w:val="0"/>
          <w:sz w:val="22"/>
        </w:rPr>
        <w:t xml:space="preserve">, substituindo espaços e barras por underscore. O BUG-05 resultava em cards não encontrados em projetos com muitos itens por ausência de paginação — corrigido com paginação via </w:t>
      </w:r>
      <w:r>
        <w:rPr>
          <w:rFonts w:ascii="Courier New" w:hAnsi="Courier New"/>
          <w:b w:val="0"/>
          <w:i w:val="0"/>
          <w:color w:val="333333"/>
          <w:sz w:val="20"/>
        </w:rPr>
        <w:t>nextPageToken</w:t>
      </w:r>
      <w:r>
        <w:rPr>
          <w:rFonts w:ascii="Calibri" w:hAnsi="Calibri"/>
          <w:b w:val="0"/>
          <w:i w:val="0"/>
          <w:sz w:val="22"/>
        </w:rPr>
        <w:t xml:space="preserve"> no método </w:t>
      </w:r>
      <w:r>
        <w:rPr>
          <w:rFonts w:ascii="Courier New" w:hAnsi="Courier New"/>
          <w:b w:val="0"/>
          <w:i w:val="0"/>
          <w:color w:val="333333"/>
          <w:sz w:val="20"/>
        </w:rPr>
        <w:t>GetIssuesByEpicAsync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Sponsor Marcos Correa Fernandez Turnes verificou pessoalmente a migração de cards em um projeto piloto do AASP e confirmou a fidelidade dos dados migrados. Em seguida, foram percorridos formalmente todos os sete critérios de aceite: CA01 (migração sem duplicatas), CA02 (fidelidade da hierarquia), CA03 (fidelidade do conteúdo), CA04 (fidelidade do status), CA05 (sincronização incremental), CA06 (migração do histórico como comentários individuais) e CA07 (resiliência por desenvolvedor — falha de um não interrompe os demais). Todos foram declarados satisfeitos pelo Sponsor.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Decisões e aceites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 / aceite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das correções dos 5 defeitos (BUG-01 a BUG-05)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formal de todos os critérios de aceite CA01–CA07 pelo Sponsor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Autorização para encerramento formal do projeto e emissão do TAE-AASPGOV01-001 em 02/06/2026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29/05/2026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Ações (follow-up)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Preparar e emitir o Termo de Aceite e Encerramento TAE-AASPGOV01-001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Preparar documentação final de implantação do serviço no Azure Scheduler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Participar da reunião de aceite final e assinar o TAE-AASPGOV01-001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Próximos passos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Encerramento formal do projeto em 02/06/2026, com realização da reunião de aceite final, assinatura do Termo de Aceite e Encerramento (TAE-AASPGOV01-001) pelo Sponsor e arquivamento da documentação do projeto AASP_Automacao-Governanca.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reconstituída a partir do Registro de Projeto AASP_Automacao-Governanca v2.0.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dos participantes: Henry Komatsu substituiu Raony Chagas, Jonathan Alves substituiu Caroline Sousa no papel de QA; responsável pela documentação de implantação atualizado para Cezar Hiraki.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Papel de Cezar Hiraki atualizado para Tech Lead / DevOps / Arquiteto na tabela de participantes; Jonathan Alves (QA) corrigido de grafia anterior.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Reconciliação: nome padronizado (AASP_Automacao-Governanca); sobrenomes (Henry Komatsu, Felipe Siqueira, Jonathan Alves).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29/05/2026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29/05/2026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ATA-AASPGOV01-003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