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32" w:space="0" w:color="003366"/>
        </w:pBdr>
        <w:spacing w:before="0" w:after="0"/>
      </w:pPr>
    </w:p>
    <w:p>
      <w:pPr>
        <w:spacing w:before="240" w:after="40"/>
      </w:pPr>
      <w:r>
        <w:rPr>
          <w:rFonts w:ascii="Calibri" w:hAnsi="Calibri"/>
          <w:b/>
          <w:color w:val="003366"/>
          <w:sz w:val="36"/>
        </w:rPr>
        <w:t>REGISTRO DE CAPACITAÇÃO DA EQUIPE — AASP_AUTOMACAO-GOVERNANCA · SENSRJIRASYNC</w:t>
      </w:r>
    </w:p>
    <w:p>
      <w:pPr>
        <w:spacing w:before="0" w:after="40"/>
      </w:pPr>
      <w:r>
        <w:rPr>
          <w:rFonts w:ascii="Calibri" w:hAnsi="Calibri"/>
          <w:color w:val="555555"/>
          <w:sz w:val="20"/>
        </w:rPr>
        <w:t>CAP-AASPGOV01-001   ·   Versão 1.3   ·   15/06/2026   ·   Timeware Brasil</w:t>
      </w:r>
    </w:p>
    <w:p>
      <w:pPr>
        <w:pBdr>
          <w:bottom w:val="single" w:sz="6" w:space="1" w:color="003366"/>
        </w:pBdr>
        <w:spacing w:before="120" w:after="280"/>
      </w:pP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51"/>
        <w:gridCol w:w="4451"/>
      </w:tblGrid>
      <w:tr>
        <w:trPr>
          <w:cantSplit w:val="1"/>
        </w:trPr>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Campo</w:t>
            </w:r>
          </w:p>
        </w:tc>
        <w:tc>
          <w:tcPr>
            <w:tcW w:type="dxa" w:w="4451"/>
            <w:tcMar>
              <w:top w:w="60" w:type="dxa"/>
              <w:bottom w:w="60" w:type="dxa"/>
              <w:left w:w="100" w:type="dxa"/>
              <w:right w:w="100" w:type="dxa"/>
            </w:tcMar>
            <w:shd w:val="clear" w:color="auto" w:fill="D6E4F0"/>
          </w:tcPr>
          <w:p>
            <w:pPr>
              <w:spacing w:before="40" w:after="40"/>
            </w:pPr>
            <w:r>
              <w:rPr>
                <w:rFonts w:ascii="Calibri" w:hAnsi="Calibri"/>
                <w:b/>
                <w:i w:val="0"/>
                <w:sz w:val="20"/>
              </w:rPr>
              <w:t>Valor</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Documento</w:t>
            </w:r>
          </w:p>
        </w:tc>
        <w:tc>
          <w:tcPr>
            <w:tcW w:type="dxa" w:w="4451"/>
            <w:tcMar>
              <w:top w:w="60" w:type="dxa"/>
              <w:bottom w:w="60" w:type="dxa"/>
              <w:left w:w="100" w:type="dxa"/>
              <w:right w:w="100" w:type="dxa"/>
            </w:tcMar>
          </w:tcPr>
          <w:p>
            <w:pPr>
              <w:spacing w:before="40" w:after="40"/>
            </w:pPr>
            <w:r>
              <w:rPr>
                <w:rFonts w:ascii="Calibri" w:hAnsi="Calibri"/>
                <w:b w:val="0"/>
                <w:i w:val="0"/>
                <w:sz w:val="20"/>
              </w:rPr>
              <w:t>CAP-AASPGOV01-001 — Registro de Capacitação da Equipe</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Versão</w:t>
            </w:r>
          </w:p>
        </w:tc>
        <w:tc>
          <w:tcPr>
            <w:tcW w:type="dxa" w:w="4451"/>
            <w:tcMar>
              <w:top w:w="60" w:type="dxa"/>
              <w:bottom w:w="60" w:type="dxa"/>
              <w:left w:w="100" w:type="dxa"/>
              <w:right w:w="100" w:type="dxa"/>
            </w:tcMar>
          </w:tcPr>
          <w:p>
            <w:pPr>
              <w:spacing w:before="40" w:after="40"/>
            </w:pPr>
            <w:r>
              <w:rPr>
                <w:rFonts w:ascii="Calibri" w:hAnsi="Calibri"/>
                <w:b w:val="0"/>
                <w:i w:val="0"/>
                <w:sz w:val="20"/>
              </w:rPr>
              <w:t>1.3</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Data</w:t>
            </w:r>
          </w:p>
        </w:tc>
        <w:tc>
          <w:tcPr>
            <w:tcW w:type="dxa" w:w="4451"/>
            <w:tcMar>
              <w:top w:w="60" w:type="dxa"/>
              <w:bottom w:w="60" w:type="dxa"/>
              <w:left w:w="100" w:type="dxa"/>
              <w:right w:w="100" w:type="dxa"/>
            </w:tcMar>
          </w:tcPr>
          <w:p>
            <w:pPr>
              <w:spacing w:before="40" w:after="40"/>
            </w:pPr>
            <w:r>
              <w:rPr>
                <w:rFonts w:ascii="Calibri" w:hAnsi="Calibri"/>
                <w:b w:val="0"/>
                <w:i w:val="0"/>
                <w:sz w:val="20"/>
              </w:rPr>
              <w:t>15/06/2026</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Organização</w:t>
            </w:r>
          </w:p>
        </w:tc>
        <w:tc>
          <w:tcPr>
            <w:tcW w:type="dxa" w:w="4451"/>
            <w:tcMar>
              <w:top w:w="60" w:type="dxa"/>
              <w:bottom w:w="60" w:type="dxa"/>
              <w:left w:w="100" w:type="dxa"/>
              <w:right w:w="100" w:type="dxa"/>
            </w:tcMar>
          </w:tcPr>
          <w:p>
            <w:pPr>
              <w:spacing w:before="40" w:after="40"/>
            </w:pPr>
            <w:r>
              <w:rPr>
                <w:rFonts w:ascii="Calibri" w:hAnsi="Calibri"/>
                <w:b w:val="0"/>
                <w:i w:val="0"/>
                <w:sz w:val="20"/>
              </w:rPr>
              <w:t>Timeware Brasil Softwares e Serviços LTDA</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Projeto</w:t>
            </w:r>
          </w:p>
        </w:tc>
        <w:tc>
          <w:tcPr>
            <w:tcW w:type="dxa" w:w="4451"/>
            <w:tcMar>
              <w:top w:w="60" w:type="dxa"/>
              <w:bottom w:w="60" w:type="dxa"/>
              <w:left w:w="100" w:type="dxa"/>
              <w:right w:w="100" w:type="dxa"/>
            </w:tcMar>
          </w:tcPr>
          <w:p>
            <w:pPr>
              <w:spacing w:before="40" w:after="40"/>
            </w:pPr>
            <w:r>
              <w:rPr>
                <w:rFonts w:ascii="Calibri" w:hAnsi="Calibri"/>
                <w:b w:val="0"/>
                <w:i w:val="0"/>
                <w:sz w:val="20"/>
              </w:rPr>
              <w:t>AASP_Automacao-Governanca — SensrJiraSync (AASPGOV01)</w:t>
            </w:r>
          </w:p>
        </w:tc>
      </w:tr>
      <w:tr>
        <w:trPr>
          <w:cantSplit w:val="1"/>
        </w:trPr>
        <w:tc>
          <w:tcPr>
            <w:tcW w:type="dxa" w:w="4451"/>
            <w:tcMar>
              <w:top w:w="60" w:type="dxa"/>
              <w:bottom w:w="60" w:type="dxa"/>
              <w:left w:w="100" w:type="dxa"/>
              <w:right w:w="100" w:type="dxa"/>
            </w:tcMar>
            <w:shd w:val="clear" w:color="auto" w:fill="F0F4F8"/>
          </w:tcPr>
          <w:p>
            <w:pPr>
              <w:spacing w:before="40" w:after="40"/>
            </w:pPr>
            <w:r>
              <w:rPr>
                <w:rFonts w:ascii="Calibri" w:hAnsi="Calibri"/>
                <w:b/>
                <w:i w:val="0"/>
                <w:sz w:val="20"/>
              </w:rPr>
              <w:t>Aprovação</w:t>
            </w:r>
          </w:p>
        </w:tc>
        <w:tc>
          <w:tcPr>
            <w:tcW w:type="dxa" w:w="4451"/>
            <w:tcMar>
              <w:top w:w="60" w:type="dxa"/>
              <w:bottom w:w="60" w:type="dxa"/>
              <w:left w:w="100" w:type="dxa"/>
              <w:right w:w="100" w:type="dxa"/>
            </w:tcMar>
          </w:tcPr>
          <w:p>
            <w:pPr>
              <w:spacing w:before="40" w:after="40"/>
            </w:pPr>
            <w:r>
              <w:rPr>
                <w:rFonts w:ascii="Calibri" w:hAnsi="Calibri"/>
                <w:b w:val="0"/>
                <w:i w:val="0"/>
                <w:sz w:val="20"/>
              </w:rPr>
              <w:t>Abraão Oliveira</w:t>
            </w:r>
          </w:p>
        </w:tc>
      </w:tr>
    </w:tbl>
    <w:p>
      <w:pPr>
        <w:spacing w:before="0" w:after="160"/>
      </w:pPr>
    </w:p>
    <w:p>
      <w:pPr>
        <w:pStyle w:val="Heading1"/>
        <w:keepNext/>
        <w:keepLines/>
        <w:pBdr>
          <w:bottom w:val="single" w:sz="4" w:space="2" w:color="D6E4F0"/>
        </w:pBdr>
      </w:pPr>
      <w:r>
        <w:t>1. Objetivo</w:t>
      </w:r>
    </w:p>
    <w:p>
      <w:pPr>
        <w:spacing w:before="0" w:after="120"/>
      </w:pPr>
      <w:r>
        <w:rPr>
          <w:rFonts w:ascii="Calibri" w:hAnsi="Calibri"/>
          <w:b w:val="0"/>
          <w:i w:val="0"/>
          <w:sz w:val="22"/>
        </w:rPr>
        <w:t>Registrar a composição da equipe alocada ao projeto AASP_Automacao-Governanca, as ações de integração formal de membros ao time e as práticas de transferência de conhecimento adotadas ao longo das quatro fases do projeto (Arquitetura, Mapeamento e Autenticação, Desenvolvimento dos Serviços e Homologação e Correções).</w:t>
      </w:r>
    </w:p>
    <w:p>
      <w:pPr>
        <w:pStyle w:val="Heading1"/>
        <w:keepNext/>
        <w:keepLines/>
        <w:pBdr>
          <w:bottom w:val="single" w:sz="4" w:space="2" w:color="D6E4F0"/>
        </w:pBdr>
      </w:pPr>
      <w:r>
        <w:t>2. Equipe alocada</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967"/>
        <w:gridCol w:w="2967"/>
        <w:gridCol w:w="2967"/>
      </w:tblGrid>
      <w:tr>
        <w:trPr>
          <w:cantSplit w:val="1"/>
        </w:trPr>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Membro (papel)</w:t>
            </w:r>
          </w:p>
        </w:tc>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Período de atuação</w:t>
            </w:r>
          </w:p>
        </w:tc>
        <w:tc>
          <w:tcPr>
            <w:tcW w:type="dxa" w:w="2967"/>
            <w:tcMar>
              <w:top w:w="60" w:type="dxa"/>
              <w:bottom w:w="60" w:type="dxa"/>
              <w:left w:w="100" w:type="dxa"/>
              <w:right w:w="100" w:type="dxa"/>
            </w:tcMar>
            <w:shd w:val="clear" w:color="auto" w:fill="003366"/>
          </w:tcPr>
          <w:p>
            <w:pPr>
              <w:spacing w:before="40" w:after="40"/>
            </w:pPr>
            <w:r>
              <w:rPr>
                <w:rFonts w:ascii="Calibri" w:hAnsi="Calibri"/>
                <w:b/>
                <w:i w:val="0"/>
                <w:color w:val="FFFFFF"/>
                <w:sz w:val="20"/>
              </w:rPr>
              <w:t>Fases</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Abraão Oliveira — Gerente de Projeto</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14/04/2026 – 02/06/2026</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Todas</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Cezar Hiraki — Tech Lead / DevOps / Arquiteto</w:t>
            </w:r>
          </w:p>
        </w:tc>
        <w:tc>
          <w:tcPr>
            <w:tcW w:type="dxa" w:w="2967"/>
            <w:tcMar>
              <w:top w:w="60" w:type="dxa"/>
              <w:bottom w:w="60" w:type="dxa"/>
              <w:left w:w="100" w:type="dxa"/>
              <w:right w:w="100" w:type="dxa"/>
            </w:tcMar>
          </w:tcPr>
          <w:p>
            <w:pPr>
              <w:spacing w:before="40" w:after="40"/>
            </w:pPr>
            <w:r>
              <w:rPr>
                <w:rFonts w:ascii="Calibri" w:hAnsi="Calibri"/>
                <w:b w:val="0"/>
                <w:i w:val="0"/>
                <w:sz w:val="20"/>
              </w:rPr>
              <w:t>14/04/2026 – 02/06/2026</w:t>
            </w:r>
          </w:p>
        </w:tc>
        <w:tc>
          <w:tcPr>
            <w:tcW w:type="dxa" w:w="2967"/>
            <w:tcMar>
              <w:top w:w="60" w:type="dxa"/>
              <w:bottom w:w="60" w:type="dxa"/>
              <w:left w:w="100" w:type="dxa"/>
              <w:right w:w="100" w:type="dxa"/>
            </w:tcMar>
          </w:tcPr>
          <w:p>
            <w:pPr>
              <w:spacing w:before="40" w:after="40"/>
            </w:pPr>
            <w:r>
              <w:rPr>
                <w:rFonts w:ascii="Calibri" w:hAnsi="Calibri"/>
                <w:b w:val="0"/>
                <w:i w:val="0"/>
                <w:sz w:val="20"/>
              </w:rPr>
              <w:t>Todas</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Henry Komatsu — Desenvolvedor</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14/04/2026 – 02/06/2026</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Todas</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Allan Alves — Desenvolvedor</w:t>
            </w:r>
          </w:p>
        </w:tc>
        <w:tc>
          <w:tcPr>
            <w:tcW w:type="dxa" w:w="2967"/>
            <w:tcMar>
              <w:top w:w="60" w:type="dxa"/>
              <w:bottom w:w="60" w:type="dxa"/>
              <w:left w:w="100" w:type="dxa"/>
              <w:right w:w="100" w:type="dxa"/>
            </w:tcMar>
          </w:tcPr>
          <w:p>
            <w:pPr>
              <w:spacing w:before="40" w:after="40"/>
            </w:pPr>
            <w:r>
              <w:rPr>
                <w:rFonts w:ascii="Calibri" w:hAnsi="Calibri"/>
                <w:b w:val="0"/>
                <w:i w:val="0"/>
                <w:sz w:val="20"/>
              </w:rPr>
              <w:t>17/04/2026 – 02/06/2026</w:t>
            </w:r>
          </w:p>
        </w:tc>
        <w:tc>
          <w:tcPr>
            <w:tcW w:type="dxa" w:w="2967"/>
            <w:tcMar>
              <w:top w:w="60" w:type="dxa"/>
              <w:bottom w:w="60" w:type="dxa"/>
              <w:left w:w="100" w:type="dxa"/>
              <w:right w:w="100" w:type="dxa"/>
            </w:tcMar>
          </w:tcPr>
          <w:p>
            <w:pPr>
              <w:spacing w:before="40" w:after="40"/>
            </w:pPr>
            <w:r>
              <w:rPr>
                <w:rFonts w:ascii="Calibri" w:hAnsi="Calibri"/>
                <w:b w:val="0"/>
                <w:i w:val="0"/>
                <w:sz w:val="20"/>
              </w:rPr>
              <w:t>2, 3, 4</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Felipe Siqueira — Desenvolvedor</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17/04/2026 – 02/06/2026</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2, 3, 4</w:t>
            </w:r>
          </w:p>
        </w:tc>
      </w:tr>
      <w:tr>
        <w:trPr>
          <w:cantSplit w:val="1"/>
        </w:trPr>
        <w:tc>
          <w:tcPr>
            <w:tcW w:type="dxa" w:w="2967"/>
            <w:tcMar>
              <w:top w:w="60" w:type="dxa"/>
              <w:bottom w:w="60" w:type="dxa"/>
              <w:left w:w="100" w:type="dxa"/>
              <w:right w:w="100" w:type="dxa"/>
            </w:tcMar>
          </w:tcPr>
          <w:p>
            <w:pPr>
              <w:spacing w:before="40" w:after="40"/>
            </w:pPr>
            <w:r>
              <w:rPr>
                <w:rFonts w:ascii="Calibri" w:hAnsi="Calibri"/>
                <w:b w:val="0"/>
                <w:i w:val="0"/>
                <w:sz w:val="20"/>
              </w:rPr>
              <w:t>Jonathan Alves — QA</w:t>
            </w:r>
          </w:p>
        </w:tc>
        <w:tc>
          <w:tcPr>
            <w:tcW w:type="dxa" w:w="2967"/>
            <w:tcMar>
              <w:top w:w="60" w:type="dxa"/>
              <w:bottom w:w="60" w:type="dxa"/>
              <w:left w:w="100" w:type="dxa"/>
              <w:right w:w="100" w:type="dxa"/>
            </w:tcMar>
          </w:tcPr>
          <w:p>
            <w:pPr>
              <w:spacing w:before="40" w:after="40"/>
            </w:pPr>
            <w:r>
              <w:rPr>
                <w:rFonts w:ascii="Calibri" w:hAnsi="Calibri"/>
                <w:b w:val="0"/>
                <w:i w:val="0"/>
                <w:sz w:val="20"/>
              </w:rPr>
              <w:t>21/05/2026 – 02/06/2026</w:t>
            </w:r>
          </w:p>
        </w:tc>
        <w:tc>
          <w:tcPr>
            <w:tcW w:type="dxa" w:w="2967"/>
            <w:tcMar>
              <w:top w:w="60" w:type="dxa"/>
              <w:bottom w:w="60" w:type="dxa"/>
              <w:left w:w="100" w:type="dxa"/>
              <w:right w:w="100" w:type="dxa"/>
            </w:tcMar>
          </w:tcPr>
          <w:p>
            <w:pPr>
              <w:spacing w:before="40" w:after="40"/>
            </w:pPr>
            <w:r>
              <w:rPr>
                <w:rFonts w:ascii="Calibri" w:hAnsi="Calibri"/>
                <w:b w:val="0"/>
                <w:i w:val="0"/>
                <w:sz w:val="20"/>
              </w:rPr>
              <w:t>4</w:t>
            </w:r>
          </w:p>
        </w:tc>
      </w:tr>
      <w:tr>
        <w:trPr>
          <w:cantSplit w:val="1"/>
        </w:trPr>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Caroline Sousa — GQA (Independente)</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02/06/2026</w:t>
            </w:r>
          </w:p>
        </w:tc>
        <w:tc>
          <w:tcPr>
            <w:tcW w:type="dxa" w:w="2967"/>
            <w:tcMar>
              <w:top w:w="60" w:type="dxa"/>
              <w:bottom w:w="60" w:type="dxa"/>
              <w:left w:w="100" w:type="dxa"/>
              <w:right w:w="100" w:type="dxa"/>
            </w:tcMar>
            <w:shd w:val="clear" w:color="auto" w:fill="EBF5FB"/>
          </w:tcPr>
          <w:p>
            <w:pPr>
              <w:spacing w:before="40" w:after="40"/>
            </w:pPr>
            <w:r>
              <w:rPr>
                <w:rFonts w:ascii="Calibri" w:hAnsi="Calibri"/>
                <w:b w:val="0"/>
                <w:i w:val="0"/>
                <w:sz w:val="20"/>
              </w:rPr>
              <w:t>Auditoria final</w:t>
            </w:r>
          </w:p>
        </w:tc>
      </w:tr>
    </w:tbl>
    <w:p>
      <w:pPr>
        <w:spacing w:before="0" w:after="160"/>
      </w:pPr>
    </w:p>
    <w:p>
      <w:pPr>
        <w:pStyle w:val="Heading1"/>
        <w:keepNext/>
        <w:keepLines/>
        <w:pBdr>
          <w:bottom w:val="single" w:sz="4" w:space="2" w:color="D6E4F0"/>
        </w:pBdr>
      </w:pPr>
      <w:r>
        <w:t>3. Integração formal de membros ao time</w:t>
      </w:r>
    </w:p>
    <w:p>
      <w:pPr>
        <w:spacing w:before="0" w:after="120"/>
      </w:pPr>
      <w:r>
        <w:rPr>
          <w:rFonts w:ascii="Calibri" w:hAnsi="Calibri"/>
          <w:b w:val="0"/>
          <w:i w:val="0"/>
          <w:sz w:val="22"/>
        </w:rPr>
        <w:t xml:space="preserve">Em </w:t>
      </w:r>
      <w:r>
        <w:rPr>
          <w:rFonts w:ascii="Calibri" w:hAnsi="Calibri"/>
          <w:b/>
          <w:i w:val="0"/>
          <w:sz w:val="22"/>
        </w:rPr>
        <w:t>17/04/2026</w:t>
      </w:r>
      <w:r>
        <w:rPr>
          <w:rFonts w:ascii="Calibri" w:hAnsi="Calibri"/>
          <w:b w:val="0"/>
          <w:i w:val="0"/>
          <w:sz w:val="22"/>
        </w:rPr>
        <w:t>, o Desenvolvedor Allan Alves foi incorporado ao time para auxiliar nas atividades de mapeamento de APIs e desenvolvimento, a partir da Fase 2. A integração foi conduzida na reunião de alinhamento técnico registrada em ATA-AASPGOV01-002, na qual foram apresentados a estrutura da solução em 3 camadas (Core / Infrastructure / App), o mapeamento completo dos endpoints das APIs Sensr e Jira v3, a estratégia de autenticação JWT por desenvolvedor (D02) e o modelo de mapeamento de entidades Sensr → Jira. O onboarding permitiu a atuação imediata de Allan Alves nas atividades de desenvolvimento da Fase 3 em parceria com Henry Komatsu.</w:t>
      </w:r>
    </w:p>
    <w:p>
      <w:pPr>
        <w:spacing w:before="0" w:after="120"/>
      </w:pPr>
      <w:r>
        <w:rPr>
          <w:rFonts w:ascii="Calibri" w:hAnsi="Calibri"/>
          <w:b w:val="0"/>
          <w:i w:val="0"/>
          <w:sz w:val="22"/>
        </w:rPr>
        <w:t xml:space="preserve">Em </w:t>
      </w:r>
      <w:r>
        <w:rPr>
          <w:rFonts w:ascii="Calibri" w:hAnsi="Calibri"/>
          <w:b/>
          <w:i w:val="0"/>
          <w:sz w:val="22"/>
        </w:rPr>
        <w:t>21/05/2026</w:t>
      </w:r>
      <w:r>
        <w:rPr>
          <w:rFonts w:ascii="Calibri" w:hAnsi="Calibri"/>
          <w:b w:val="0"/>
          <w:i w:val="0"/>
          <w:sz w:val="22"/>
        </w:rPr>
        <w:t>, o QA Jonathan Alves foi incorporado ao time para condução da Fase 4 de Homologação. O briefing de entrada cobriu os critérios de aceite CA01 a CA07, os 12 cenários de teste planejados no VV-AASPGOV01-001 (CT-01 a CT-12), e a estratégia de homologação executada diretamente em ambiente real Sensr / Jira (sem uso de mocks), conforme ADAP-AASPGOV01-001. A integração foi conduzida pelo Gerente de Projeto e pelo Tech Lead, garantindo plena capacidade de execução dos testes a partir do primeiro dia da Fase 4.</w:t>
      </w:r>
    </w:p>
    <w:p>
      <w:pPr>
        <w:pStyle w:val="Heading1"/>
        <w:keepNext/>
        <w:keepLines/>
        <w:pBdr>
          <w:bottom w:val="single" w:sz="4" w:space="2" w:color="D6E4F0"/>
        </w:pBdr>
      </w:pPr>
      <w:r>
        <w:t>4. Práticas de transferência de conhecimento</w:t>
      </w:r>
    </w:p>
    <w:tbl>
      <w:tblPr>
        <w:tblW w:type="auto" w:w="0"/>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451"/>
        <w:gridCol w:w="4451"/>
      </w:tblGrid>
      <w:tr>
        <w:trPr>
          <w:cantSplit w:val="1"/>
        </w:trPr>
        <w:tc>
          <w:tcPr>
            <w:tcW w:type="dxa" w:w="4451"/>
            <w:tcMar>
              <w:top w:w="60" w:type="dxa"/>
              <w:bottom w:w="60" w:type="dxa"/>
              <w:left w:w="100" w:type="dxa"/>
              <w:right w:w="100" w:type="dxa"/>
            </w:tcMar>
            <w:shd w:val="clear" w:color="auto" w:fill="003366"/>
          </w:tcPr>
          <w:p>
            <w:pPr>
              <w:spacing w:before="40" w:after="40"/>
            </w:pPr>
            <w:r>
              <w:rPr>
                <w:rFonts w:ascii="Calibri" w:hAnsi="Calibri"/>
                <w:b/>
                <w:i w:val="0"/>
                <w:color w:val="FFFFFF"/>
                <w:sz w:val="20"/>
              </w:rPr>
              <w:t>Prática</w:t>
            </w:r>
          </w:p>
        </w:tc>
        <w:tc>
          <w:tcPr>
            <w:tcW w:type="dxa" w:w="4451"/>
            <w:tcMar>
              <w:top w:w="60" w:type="dxa"/>
              <w:bottom w:w="60" w:type="dxa"/>
              <w:left w:w="100" w:type="dxa"/>
              <w:right w:w="100" w:type="dxa"/>
            </w:tcMar>
            <w:shd w:val="clear" w:color="auto" w:fill="003366"/>
          </w:tcPr>
          <w:p>
            <w:pPr>
              <w:spacing w:before="40" w:after="40"/>
            </w:pPr>
            <w:r>
              <w:rPr>
                <w:rFonts w:ascii="Calibri" w:hAnsi="Calibri"/>
                <w:b/>
                <w:i w:val="0"/>
                <w:color w:val="FFFFFF"/>
                <w:sz w:val="20"/>
              </w:rPr>
              <w:t>Descrição</w:t>
            </w:r>
          </w:p>
        </w:tc>
      </w:tr>
      <w:tr>
        <w:trPr>
          <w:cantSplit w:val="1"/>
        </w:trPr>
        <w:tc>
          <w:tcPr>
            <w:tcW w:type="dxa" w:w="4451"/>
            <w:tcMar>
              <w:top w:w="60" w:type="dxa"/>
              <w:bottom w:w="60" w:type="dxa"/>
              <w:left w:w="100" w:type="dxa"/>
              <w:right w:w="100" w:type="dxa"/>
            </w:tcMar>
            <w:shd w:val="clear" w:color="auto" w:fill="EBF5FB"/>
          </w:tcPr>
          <w:p>
            <w:pPr>
              <w:spacing w:before="40" w:after="40"/>
            </w:pPr>
            <w:r>
              <w:rPr>
                <w:rFonts w:ascii="Calibri" w:hAnsi="Calibri"/>
                <w:b w:val="0"/>
                <w:i w:val="0"/>
                <w:sz w:val="20"/>
              </w:rPr>
              <w:t>Revisão de código (Pull Request)</w:t>
            </w:r>
          </w:p>
        </w:tc>
        <w:tc>
          <w:tcPr>
            <w:tcW w:type="dxa" w:w="4451"/>
            <w:tcMar>
              <w:top w:w="60" w:type="dxa"/>
              <w:bottom w:w="60" w:type="dxa"/>
              <w:left w:w="100" w:type="dxa"/>
              <w:right w:w="100" w:type="dxa"/>
            </w:tcMar>
            <w:shd w:val="clear" w:color="auto" w:fill="EBF5FB"/>
          </w:tcPr>
          <w:p>
            <w:pPr>
              <w:spacing w:before="40" w:after="40"/>
            </w:pPr>
            <w:r>
              <w:rPr>
                <w:rFonts w:ascii="Calibri" w:hAnsi="Calibri"/>
                <w:b w:val="0"/>
                <w:i w:val="0"/>
                <w:sz w:val="20"/>
              </w:rPr>
              <w:t xml:space="preserve">Toda mudança em </w:t>
            </w:r>
            <w:r>
              <w:rPr>
                <w:rFonts w:ascii="Courier New" w:hAnsi="Courier New"/>
                <w:b w:val="0"/>
                <w:i w:val="0"/>
                <w:color w:val="333333"/>
                <w:sz w:val="20"/>
              </w:rPr>
              <w:t>develop</w:t>
            </w:r>
            <w:r>
              <w:rPr>
                <w:rFonts w:ascii="Calibri" w:hAnsi="Calibri"/>
                <w:b w:val="0"/>
                <w:i w:val="0"/>
                <w:sz w:val="20"/>
              </w:rPr>
              <w:t xml:space="preserve"> exige revisão de ao menos 1 membro da equipe além do autor. O code review funciona como mecanismo de disseminação técnica: o revisor é exposto às decisões de implementação e pode questionar abordagens antes da integração. Registrado em REV-AASPGOV01-001.</w:t>
            </w:r>
          </w:p>
        </w:tc>
      </w:tr>
      <w:tr>
        <w:trPr>
          <w:cantSplit w:val="1"/>
        </w:trPr>
        <w:tc>
          <w:tcPr>
            <w:tcW w:type="dxa" w:w="4451"/>
            <w:tcMar>
              <w:top w:w="60" w:type="dxa"/>
              <w:bottom w:w="60" w:type="dxa"/>
              <w:left w:w="100" w:type="dxa"/>
              <w:right w:w="100" w:type="dxa"/>
            </w:tcMar>
          </w:tcPr>
          <w:p>
            <w:pPr>
              <w:spacing w:before="40" w:after="40"/>
            </w:pPr>
            <w:r>
              <w:rPr>
                <w:rFonts w:ascii="Calibri" w:hAnsi="Calibri"/>
                <w:b w:val="0"/>
                <w:i w:val="0"/>
                <w:sz w:val="20"/>
              </w:rPr>
              <w:t>Reuniões de alinhamento</w:t>
            </w:r>
          </w:p>
        </w:tc>
        <w:tc>
          <w:tcPr>
            <w:tcW w:type="dxa" w:w="4451"/>
            <w:tcMar>
              <w:top w:w="60" w:type="dxa"/>
              <w:bottom w:w="60" w:type="dxa"/>
              <w:left w:w="100" w:type="dxa"/>
              <w:right w:w="100" w:type="dxa"/>
            </w:tcMar>
          </w:tcPr>
          <w:p>
            <w:pPr>
              <w:spacing w:before="40" w:after="40"/>
            </w:pPr>
            <w:r>
              <w:rPr>
                <w:rFonts w:ascii="Calibri" w:hAnsi="Calibri"/>
                <w:b w:val="0"/>
                <w:i w:val="0"/>
                <w:sz w:val="20"/>
              </w:rPr>
              <w:t>Três marcos do projeto foram formalizados em atas: Kickoff (ATA-AASPGOV01-001, 14/04/2026), Mapeamento de APIs (ATA-AASPGOV01-002, 23/04/2026) e Validação de Homologação (ATA-AASPGOV01-003, 29/05/2026). As reuniões garantiram alinhamento técnico e de escopo entre todos os membros ativos em cada fase.</w:t>
            </w:r>
          </w:p>
        </w:tc>
      </w:tr>
      <w:tr>
        <w:trPr>
          <w:cantSplit w:val="1"/>
        </w:trPr>
        <w:tc>
          <w:tcPr>
            <w:tcW w:type="dxa" w:w="4451"/>
            <w:tcMar>
              <w:top w:w="60" w:type="dxa"/>
              <w:bottom w:w="60" w:type="dxa"/>
              <w:left w:w="100" w:type="dxa"/>
              <w:right w:w="100" w:type="dxa"/>
            </w:tcMar>
            <w:shd w:val="clear" w:color="auto" w:fill="EBF5FB"/>
          </w:tcPr>
          <w:p>
            <w:pPr>
              <w:spacing w:before="40" w:after="40"/>
            </w:pPr>
            <w:r>
              <w:rPr>
                <w:rFonts w:ascii="Calibri" w:hAnsi="Calibri"/>
                <w:b w:val="0"/>
                <w:i w:val="0"/>
                <w:sz w:val="20"/>
              </w:rPr>
              <w:t>Documentação técnica inline</w:t>
            </w:r>
          </w:p>
        </w:tc>
        <w:tc>
          <w:tcPr>
            <w:tcW w:type="dxa" w:w="4451"/>
            <w:tcMar>
              <w:top w:w="60" w:type="dxa"/>
              <w:bottom w:w="60" w:type="dxa"/>
              <w:left w:w="100" w:type="dxa"/>
              <w:right w:w="100" w:type="dxa"/>
            </w:tcMar>
            <w:shd w:val="clear" w:color="auto" w:fill="EBF5FB"/>
          </w:tcPr>
          <w:p>
            <w:pPr>
              <w:spacing w:before="40" w:after="40"/>
            </w:pPr>
            <w:r>
              <w:rPr>
                <w:rFonts w:ascii="Calibri" w:hAnsi="Calibri"/>
                <w:b w:val="0"/>
                <w:i w:val="0"/>
                <w:sz w:val="20"/>
              </w:rPr>
              <w:t xml:space="preserve">Comentários XML nos métodos públicos dos serviços, com ênfase nos comportamentos não óbvios: parsing de histórico HTML no HtmlHelper, mecanismo de identificação por prefixo </w:t>
            </w:r>
            <w:r>
              <w:rPr>
                <w:rFonts w:ascii="Courier New" w:hAnsi="Courier New"/>
                <w:b w:val="0"/>
                <w:i w:val="0"/>
                <w:color w:val="333333"/>
                <w:sz w:val="20"/>
              </w:rPr>
              <w:t>#ID</w:t>
            </w:r>
            <w:r>
              <w:rPr>
                <w:rFonts w:ascii="Calibri" w:hAnsi="Calibri"/>
                <w:b w:val="0"/>
                <w:i w:val="0"/>
                <w:sz w:val="20"/>
              </w:rPr>
              <w:t xml:space="preserve"> no SyncService e estruturação do ADF no BuildAdfDocument.</w:t>
            </w:r>
          </w:p>
        </w:tc>
      </w:tr>
      <w:tr>
        <w:trPr>
          <w:cantSplit w:val="1"/>
        </w:trPr>
        <w:tc>
          <w:tcPr>
            <w:tcW w:type="dxa" w:w="4451"/>
            <w:tcMar>
              <w:top w:w="60" w:type="dxa"/>
              <w:bottom w:w="60" w:type="dxa"/>
              <w:left w:w="100" w:type="dxa"/>
              <w:right w:w="100" w:type="dxa"/>
            </w:tcMar>
          </w:tcPr>
          <w:p>
            <w:pPr>
              <w:spacing w:before="40" w:after="40"/>
            </w:pPr>
            <w:r>
              <w:rPr>
                <w:rFonts w:ascii="Calibri" w:hAnsi="Calibri"/>
                <w:b w:val="0"/>
                <w:i w:val="0"/>
                <w:sz w:val="20"/>
              </w:rPr>
              <w:t>Definição colaborativa da arquitetura</w:t>
            </w:r>
          </w:p>
        </w:tc>
        <w:tc>
          <w:tcPr>
            <w:tcW w:type="dxa" w:w="4451"/>
            <w:tcMar>
              <w:top w:w="60" w:type="dxa"/>
              <w:bottom w:w="60" w:type="dxa"/>
              <w:left w:w="100" w:type="dxa"/>
              <w:right w:w="100" w:type="dxa"/>
            </w:tcMar>
          </w:tcPr>
          <w:p>
            <w:pPr>
              <w:spacing w:before="40" w:after="40"/>
            </w:pPr>
            <w:r>
              <w:rPr>
                <w:rFonts w:ascii="Calibri" w:hAnsi="Calibri"/>
                <w:b w:val="0"/>
                <w:i w:val="0"/>
                <w:sz w:val="20"/>
              </w:rPr>
              <w:t>A arquitetura em 3 camadas foi definida na Fase 1 com participação de toda a equipe técnica (Cezar Hiraki, Henry Komatsu), documentada nos contratos de interface do Core como referência compartilhada para o desenvolvimento subsequente.</w:t>
            </w:r>
          </w:p>
        </w:tc>
      </w:tr>
      <w:tr>
        <w:trPr>
          <w:cantSplit w:val="1"/>
        </w:trPr>
        <w:tc>
          <w:tcPr>
            <w:tcW w:type="dxa" w:w="4451"/>
            <w:tcMar>
              <w:top w:w="60" w:type="dxa"/>
              <w:bottom w:w="60" w:type="dxa"/>
              <w:left w:w="100" w:type="dxa"/>
              <w:right w:w="100" w:type="dxa"/>
            </w:tcMar>
            <w:shd w:val="clear" w:color="auto" w:fill="EBF5FB"/>
          </w:tcPr>
          <w:p>
            <w:pPr>
              <w:spacing w:before="40" w:after="40"/>
            </w:pPr>
            <w:r>
              <w:rPr>
                <w:rFonts w:ascii="Calibri" w:hAnsi="Calibri"/>
                <w:b w:val="0"/>
                <w:i w:val="0"/>
                <w:sz w:val="20"/>
              </w:rPr>
              <w:t>Pareamento técnico (pair programming pontual)</w:t>
            </w:r>
          </w:p>
        </w:tc>
        <w:tc>
          <w:tcPr>
            <w:tcW w:type="dxa" w:w="4451"/>
            <w:tcMar>
              <w:top w:w="60" w:type="dxa"/>
              <w:bottom w:w="60" w:type="dxa"/>
              <w:left w:w="100" w:type="dxa"/>
              <w:right w:w="100" w:type="dxa"/>
            </w:tcMar>
            <w:shd w:val="clear" w:color="auto" w:fill="EBF5FB"/>
          </w:tcPr>
          <w:p>
            <w:pPr>
              <w:spacing w:before="40" w:after="40"/>
            </w:pPr>
            <w:r>
              <w:rPr>
                <w:rFonts w:ascii="Calibri" w:hAnsi="Calibri"/>
                <w:b w:val="0"/>
                <w:i w:val="0"/>
                <w:sz w:val="20"/>
              </w:rPr>
              <w:t xml:space="preserve">Sessões pontuais entre Henry Komatsu (Desenvolvedor) e Allan Alves (Desenvolvedor) para implementação das partes de maior complexidade técnica: </w:t>
            </w:r>
            <w:r>
              <w:rPr>
                <w:rFonts w:ascii="Courier New" w:hAnsi="Courier New"/>
                <w:b w:val="0"/>
                <w:i w:val="0"/>
                <w:color w:val="333333"/>
                <w:sz w:val="20"/>
              </w:rPr>
              <w:t>BuildAdfDocument</w:t>
            </w:r>
            <w:r>
              <w:rPr>
                <w:rFonts w:ascii="Calibri" w:hAnsi="Calibri"/>
                <w:b w:val="0"/>
                <w:i w:val="0"/>
                <w:sz w:val="20"/>
              </w:rPr>
              <w:t xml:space="preserve"> (geração de ADF) e </w:t>
            </w:r>
            <w:r>
              <w:rPr>
                <w:rFonts w:ascii="Courier New" w:hAnsi="Courier New"/>
                <w:b w:val="0"/>
                <w:i w:val="0"/>
                <w:color w:val="333333"/>
                <w:sz w:val="20"/>
              </w:rPr>
              <w:t>HtmlHelper</w:t>
            </w:r>
            <w:r>
              <w:rPr>
                <w:rFonts w:ascii="Calibri" w:hAnsi="Calibri"/>
                <w:b w:val="0"/>
                <w:i w:val="0"/>
                <w:sz w:val="20"/>
              </w:rPr>
              <w:t xml:space="preserve"> (conversão de HTML).</w:t>
            </w:r>
          </w:p>
        </w:tc>
      </w:tr>
    </w:tbl>
    <w:p>
      <w:pPr>
        <w:spacing w:before="0" w:after="160"/>
      </w:pPr>
    </w:p>
    <w:p>
      <w:pPr>
        <w:pStyle w:val="Heading1"/>
        <w:keepNext/>
        <w:keepLines/>
        <w:pBdr>
          <w:bottom w:val="single" w:sz="4" w:space="2" w:color="D6E4F0"/>
        </w:pBdr>
      </w:pPr>
      <w:r>
        <w:t>5. Observações</w:t>
      </w:r>
    </w:p>
    <w:p>
      <w:pPr>
        <w:spacing w:before="0" w:after="120"/>
      </w:pPr>
      <w:r>
        <w:rPr>
          <w:rFonts w:ascii="Calibri" w:hAnsi="Calibri"/>
          <w:b w:val="0"/>
          <w:i w:val="0"/>
          <w:sz w:val="22"/>
        </w:rPr>
        <w:t>A equipe já atuava com as tecnologias centrais do projeto (.NET 8, Azure DevOps, GitFlow, APIs RESTful, Jira), não havendo necessidade de treinamento formal específico. As ações de preparação focaram nos elementos particulares do projeto: contratos das APIs Sensr e Jira v3, o Atlassian Document Format (ADF) como requisito da API Jira v3, e as particularidades do Azure Scheduler como ambiente de execução. O Plano de Capacitação Organizacional aplicável está registrado em PLA-CAP-001. A auditoria independente de qualidade foi conduzida por Caroline Sousa (GQA Independente) ao encerramento do projeto, com resultado registrado em GQA-AASPGOV01-001.</w:t>
      </w:r>
    </w:p>
    <w:p>
      <w:pPr>
        <w:pStyle w:val="Heading1"/>
        <w:keepNext/>
        <w:keepLines/>
        <w:pBdr>
          <w:bottom w:val="single" w:sz="4" w:space="2" w:color="D6E4F0"/>
        </w:pBdr>
      </w:pPr>
      <w:r>
        <w:t>Histórico de revisões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25"/>
        <w:gridCol w:w="2225"/>
        <w:gridCol w:w="2225"/>
        <w:gridCol w:w="2225"/>
      </w:tblGrid>
      <w:tr>
        <w:trPr>
          <w:cantSplit w:val="1"/>
        </w:trPr>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Versão</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Data</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Autor</w:t>
            </w:r>
          </w:p>
        </w:tc>
        <w:tc>
          <w:tcPr>
            <w:tcW w:type="dxa" w:w="2225"/>
            <w:tcMar>
              <w:top w:w="60" w:type="dxa"/>
              <w:bottom w:w="60" w:type="dxa"/>
              <w:left w:w="100" w:type="dxa"/>
              <w:right w:w="100" w:type="dxa"/>
            </w:tcMar>
            <w:shd w:val="clear" w:color="auto" w:fill="D6E4F0"/>
          </w:tcPr>
          <w:p>
            <w:pPr>
              <w:spacing w:before="40" w:after="40"/>
            </w:pPr>
            <w:r>
              <w:rPr>
                <w:rFonts w:ascii="Calibri" w:hAnsi="Calibri"/>
                <w:b/>
                <w:i w:val="0"/>
                <w:sz w:val="20"/>
              </w:rPr>
              <w:t>Descrição</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1.0</w:t>
            </w:r>
          </w:p>
        </w:tc>
        <w:tc>
          <w:tcPr>
            <w:tcW w:type="dxa" w:w="2225"/>
            <w:tcMar>
              <w:top w:w="60" w:type="dxa"/>
              <w:bottom w:w="60" w:type="dxa"/>
              <w:left w:w="100" w:type="dxa"/>
              <w:right w:w="100" w:type="dxa"/>
            </w:tcMar>
          </w:tcPr>
          <w:p>
            <w:pPr>
              <w:spacing w:before="40" w:after="40"/>
            </w:pPr>
            <w:r>
              <w:rPr>
                <w:rFonts w:ascii="Calibri" w:hAnsi="Calibri"/>
                <w:b w:val="0"/>
                <w:i w:val="0"/>
                <w:sz w:val="20"/>
              </w:rPr>
              <w:t>02/06/2026</w:t>
            </w:r>
          </w:p>
        </w:tc>
        <w:tc>
          <w:tcPr>
            <w:tcW w:type="dxa" w:w="2225"/>
            <w:tcMar>
              <w:top w:w="60" w:type="dxa"/>
              <w:bottom w:w="60" w:type="dxa"/>
              <w:left w:w="100" w:type="dxa"/>
              <w:right w:w="100" w:type="dxa"/>
            </w:tcMar>
          </w:tcPr>
          <w:p>
            <w:pPr>
              <w:spacing w:before="40" w:after="40"/>
            </w:pPr>
            <w:r>
              <w:rPr>
                <w:rFonts w:ascii="Calibri" w:hAnsi="Calibri"/>
                <w:b w:val="0"/>
                <w:i w:val="0"/>
                <w:sz w:val="20"/>
              </w:rPr>
              <w:t>Time de Melhoria Contínua</w:t>
            </w:r>
          </w:p>
        </w:tc>
        <w:tc>
          <w:tcPr>
            <w:tcW w:type="dxa" w:w="2225"/>
            <w:tcMar>
              <w:top w:w="60" w:type="dxa"/>
              <w:bottom w:w="60" w:type="dxa"/>
              <w:left w:w="100" w:type="dxa"/>
              <w:right w:w="100" w:type="dxa"/>
            </w:tcMar>
          </w:tcPr>
          <w:p>
            <w:pPr>
              <w:spacing w:before="40" w:after="40"/>
            </w:pPr>
            <w:r>
              <w:rPr>
                <w:rFonts w:ascii="Calibri" w:hAnsi="Calibri"/>
                <w:b w:val="0"/>
                <w:i w:val="0"/>
                <w:sz w:val="20"/>
              </w:rPr>
              <w:t>Registro de capacitação consolidado a partir do Registro de Projeto AASP_Automacao-Governanca v2.0.</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1.1</w:t>
            </w:r>
          </w:p>
        </w:tc>
        <w:tc>
          <w:tcPr>
            <w:tcW w:type="dxa" w:w="2225"/>
            <w:tcMar>
              <w:top w:w="60" w:type="dxa"/>
              <w:bottom w:w="60" w:type="dxa"/>
              <w:left w:w="100" w:type="dxa"/>
              <w:right w:w="100" w:type="dxa"/>
            </w:tcMar>
          </w:tcPr>
          <w:p>
            <w:pPr>
              <w:spacing w:before="40" w:after="40"/>
            </w:pPr>
            <w:r>
              <w:rPr>
                <w:rFonts w:ascii="Calibri" w:hAnsi="Calibri"/>
                <w:b w:val="0"/>
                <w:i w:val="0"/>
                <w:sz w:val="20"/>
              </w:rPr>
              <w:t>15/06/2026</w:t>
            </w:r>
          </w:p>
        </w:tc>
        <w:tc>
          <w:tcPr>
            <w:tcW w:type="dxa" w:w="2225"/>
            <w:tcMar>
              <w:top w:w="60" w:type="dxa"/>
              <w:bottom w:w="60" w:type="dxa"/>
              <w:left w:w="100" w:type="dxa"/>
              <w:right w:w="100" w:type="dxa"/>
            </w:tcMar>
          </w:tcPr>
          <w:p>
            <w:pPr>
              <w:spacing w:before="40" w:after="40"/>
            </w:pPr>
            <w:r>
              <w:rPr>
                <w:rFonts w:ascii="Calibri" w:hAnsi="Calibri"/>
                <w:b w:val="0"/>
                <w:i w:val="0"/>
                <w:sz w:val="20"/>
              </w:rPr>
              <w:t>Time de Melhoria Contínua</w:t>
            </w:r>
          </w:p>
        </w:tc>
        <w:tc>
          <w:tcPr>
            <w:tcW w:type="dxa" w:w="2225"/>
            <w:tcMar>
              <w:top w:w="60" w:type="dxa"/>
              <w:bottom w:w="60" w:type="dxa"/>
              <w:left w:w="100" w:type="dxa"/>
              <w:right w:w="100" w:type="dxa"/>
            </w:tcMar>
          </w:tcPr>
          <w:p>
            <w:pPr>
              <w:spacing w:before="40" w:after="40"/>
            </w:pPr>
            <w:r>
              <w:rPr>
                <w:rFonts w:ascii="Calibri" w:hAnsi="Calibri"/>
                <w:b w:val="0"/>
                <w:i w:val="0"/>
                <w:sz w:val="20"/>
              </w:rPr>
              <w:t>Atualização da composição da equipe: Henry Komatsu substituiu Raony Chagas, Cezar absorveu DevOps, Felipe Siqueira adicionado como Desenvolvedor, Jonathan Alves como QA, Caroline Sousa como GQA Independente.</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1.2</w:t>
            </w:r>
          </w:p>
        </w:tc>
        <w:tc>
          <w:tcPr>
            <w:tcW w:type="dxa" w:w="2225"/>
            <w:tcMar>
              <w:top w:w="60" w:type="dxa"/>
              <w:bottom w:w="60" w:type="dxa"/>
              <w:left w:w="100" w:type="dxa"/>
              <w:right w:w="100" w:type="dxa"/>
            </w:tcMar>
          </w:tcPr>
          <w:p>
            <w:pPr>
              <w:spacing w:before="40" w:after="40"/>
            </w:pPr>
            <w:r>
              <w:rPr>
                <w:rFonts w:ascii="Calibri" w:hAnsi="Calibri"/>
                <w:b w:val="0"/>
                <w:i w:val="0"/>
                <w:sz w:val="20"/>
              </w:rPr>
              <w:t>15/06/2026</w:t>
            </w:r>
          </w:p>
        </w:tc>
        <w:tc>
          <w:tcPr>
            <w:tcW w:type="dxa" w:w="2225"/>
            <w:tcMar>
              <w:top w:w="60" w:type="dxa"/>
              <w:bottom w:w="60" w:type="dxa"/>
              <w:left w:w="100" w:type="dxa"/>
              <w:right w:w="100" w:type="dxa"/>
            </w:tcMar>
          </w:tcPr>
          <w:p>
            <w:pPr>
              <w:spacing w:before="40" w:after="40"/>
            </w:pPr>
            <w:r>
              <w:rPr>
                <w:rFonts w:ascii="Calibri" w:hAnsi="Calibri"/>
                <w:b w:val="0"/>
                <w:i w:val="0"/>
                <w:sz w:val="20"/>
              </w:rPr>
              <w:t>Time de Melhoria Contínua</w:t>
            </w:r>
          </w:p>
        </w:tc>
        <w:tc>
          <w:tcPr>
            <w:tcW w:type="dxa" w:w="2225"/>
            <w:tcMar>
              <w:top w:w="60" w:type="dxa"/>
              <w:bottom w:w="60" w:type="dxa"/>
              <w:left w:w="100" w:type="dxa"/>
              <w:right w:w="100" w:type="dxa"/>
            </w:tcMar>
          </w:tcPr>
          <w:p>
            <w:pPr>
              <w:spacing w:before="40" w:after="40"/>
            </w:pPr>
            <w:r>
              <w:rPr>
                <w:rFonts w:ascii="Calibri" w:hAnsi="Calibri"/>
                <w:b w:val="0"/>
                <w:i w:val="0"/>
                <w:sz w:val="20"/>
              </w:rPr>
              <w:t>Jonathan Alves (QA) corrigido de grafia anterior.</w:t>
            </w:r>
          </w:p>
        </w:tc>
      </w:tr>
      <w:tr>
        <w:trPr>
          <w:cantSplit w:val="1"/>
        </w:trPr>
        <w:tc>
          <w:tcPr>
            <w:tcW w:type="dxa" w:w="2225"/>
            <w:tcMar>
              <w:top w:w="60" w:type="dxa"/>
              <w:bottom w:w="60" w:type="dxa"/>
              <w:left w:w="100" w:type="dxa"/>
              <w:right w:w="100" w:type="dxa"/>
            </w:tcMar>
            <w:shd w:val="clear" w:color="auto" w:fill="F0F4F8"/>
          </w:tcPr>
          <w:p>
            <w:pPr>
              <w:spacing w:before="40" w:after="40"/>
            </w:pPr>
            <w:r>
              <w:rPr>
                <w:rFonts w:ascii="Calibri" w:hAnsi="Calibri"/>
                <w:b/>
                <w:i w:val="0"/>
                <w:sz w:val="20"/>
              </w:rPr>
              <w:t>1.3</w:t>
            </w:r>
          </w:p>
        </w:tc>
        <w:tc>
          <w:tcPr>
            <w:tcW w:type="dxa" w:w="2225"/>
            <w:tcMar>
              <w:top w:w="60" w:type="dxa"/>
              <w:bottom w:w="60" w:type="dxa"/>
              <w:left w:w="100" w:type="dxa"/>
              <w:right w:w="100" w:type="dxa"/>
            </w:tcMar>
          </w:tcPr>
          <w:p>
            <w:pPr>
              <w:spacing w:before="40" w:after="40"/>
            </w:pPr>
            <w:r>
              <w:rPr>
                <w:rFonts w:ascii="Calibri" w:hAnsi="Calibri"/>
                <w:b w:val="0"/>
                <w:i w:val="0"/>
                <w:sz w:val="20"/>
              </w:rPr>
              <w:t>16/06/2026</w:t>
            </w:r>
          </w:p>
        </w:tc>
        <w:tc>
          <w:tcPr>
            <w:tcW w:type="dxa" w:w="2225"/>
            <w:tcMar>
              <w:top w:w="60" w:type="dxa"/>
              <w:bottom w:w="60" w:type="dxa"/>
              <w:left w:w="100" w:type="dxa"/>
              <w:right w:w="100" w:type="dxa"/>
            </w:tcMar>
          </w:tcPr>
          <w:p>
            <w:pPr>
              <w:spacing w:before="40" w:after="40"/>
            </w:pPr>
            <w:r>
              <w:rPr>
                <w:rFonts w:ascii="Calibri" w:hAnsi="Calibri"/>
                <w:b w:val="0"/>
                <w:i w:val="0"/>
                <w:sz w:val="20"/>
              </w:rPr>
              <w:t>Time de Melhoria Contínua</w:t>
            </w:r>
          </w:p>
        </w:tc>
        <w:tc>
          <w:tcPr>
            <w:tcW w:type="dxa" w:w="2225"/>
            <w:tcMar>
              <w:top w:w="60" w:type="dxa"/>
              <w:bottom w:w="60" w:type="dxa"/>
              <w:left w:w="100" w:type="dxa"/>
              <w:right w:w="100" w:type="dxa"/>
            </w:tcMar>
          </w:tcPr>
          <w:p>
            <w:pPr>
              <w:spacing w:before="40" w:after="40"/>
            </w:pPr>
            <w:r>
              <w:rPr>
                <w:rFonts w:ascii="Calibri" w:hAnsi="Calibri"/>
                <w:b w:val="0"/>
                <w:i w:val="0"/>
                <w:sz w:val="20"/>
              </w:rPr>
              <w:t>Reconciliação: nome padronizado (AASP_Automacao-Governanca); sobrenomes (Henry Komatsu, Felipe Siqueira, Jonathan Alves).</w:t>
            </w:r>
          </w:p>
        </w:tc>
      </w:tr>
    </w:tbl>
    <w:p>
      <w:pPr>
        <w:spacing w:before="0" w:after="160"/>
      </w:pPr>
    </w:p>
    <w:sectPr w:rsidR="00FC693F" w:rsidRPr="0006063C" w:rsidSect="00034616">
      <w:headerReference w:type="default" r:id="rId9"/>
      <w:headerReference w:type="first" r:id="rId10"/>
      <w:footerReference w:type="default" r:id="rId11"/>
      <w:footerReference w:type="first" r:id="rId12"/>
      <w:pgSz w:w="11906" w:h="16838"/>
      <w:pgMar w:top="1587" w:right="141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v1.3  ·  15/06/2026</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901"/>
      </w:tabs>
      <w:pBdr>
        <w:top w:val="single" w:sz="4" w:space="4" w:color="003366"/>
      </w:pBdr>
      <w:spacing w:before="80" w:after="0"/>
    </w:pPr>
    <w:r>
      <w:rPr>
        <w:rFonts w:ascii="Calibri" w:hAnsi="Calibri"/>
        <w:color w:val="555555"/>
        <w:sz w:val="16"/>
      </w:rPr>
      <w:t>v1.3  ·  15/06/2026</w:t>
    </w:r>
    <w:r>
      <w:tab/>
    </w:r>
    <w:r>
      <w:rPr>
        <w:rFonts w:ascii="Calibri" w:hAnsi="Calibri"/>
        <w:color w:val="555555"/>
        <w:sz w:val="16"/>
      </w:rPr>
      <w:t xml:space="preserve">Página </w:t>
    </w:r>
    <w:r>
      <w:rPr>
        <w:rFonts w:ascii="Calibri" w:hAnsi="Calibri"/>
        <w:sz w:val="16"/>
      </w:rPr>
      <w:fldChar w:fldCharType="begin"/>
      <w:instrText xml:space="preserve"> PAGE </w:instrText>
      <w:fldChar w:fldCharType="end"/>
    </w:r>
    <w:r>
      <w:rPr>
        <w:rFonts w:ascii="Calibri" w:hAnsi="Calibri"/>
        <w:color w:val="555555"/>
        <w:sz w:val="16"/>
      </w:rPr>
      <w:t xml:space="preserve"> de </w:t>
    </w:r>
    <w:r>
      <w:rPr>
        <w:rFonts w:ascii="Calibri" w:hAnsi="Calibri"/>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901"/>
      </w:tabs>
      <w:pBdr>
        <w:bottom w:val="single" w:sz="8" w:space="4" w:color="003366"/>
      </w:pBdr>
      <w:spacing w:before="0" w:after="80"/>
    </w:pPr>
    <w:r>
      <w:rPr>
        <w:rFonts w:ascii="Calibri" w:hAnsi="Calibri"/>
        <w:b/>
        <w:color w:val="003366"/>
        <w:sz w:val="18"/>
      </w:rPr>
      <w:t>TIMEWARE</w:t>
    </w:r>
    <w:r>
      <w:rPr>
        <w:rFonts w:ascii="Calibri" w:hAnsi="Calibri"/>
        <w:color w:val="555555"/>
        <w:sz w:val="18"/>
      </w:rPr>
      <w:t xml:space="preserve">   ·   CAP-AASPGOV01-001</w:t>
    </w:r>
    <w:r>
      <w:tab/>
    </w:r>
    <w:r>
      <w:rPr>
        <w:rFonts w:ascii="Calibri" w:hAnsi="Calibri"/>
        <w:color w:val="555555"/>
        <w:sz w:val="18"/>
      </w:rPr>
      <w:t>Capacitação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5276"/>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i/>
      <w:color w:val="1A52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