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(RAD) — AASP_AUTOMACAO-GOVERNANCA · FORMATO DE ENVIO DE TEXTO PARA A API JIRA V3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GDE-AASPGOV01-001   ·   06/05/2026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 (AASPGOV01)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(com o time de desenvolvimento)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Problema / decisão a tomar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Definir o formato de envio de conteúdo textual — descrições de atividades, histórico de descrição convertido e comentários — para a API Jira v3, garantindo compatibilidade com a plataforma e legibilidade do conteúdo migrado do Sensr. O Sensr armazena seus campos de texto em HTML; o Jira v3 impõe um formato próprio de serialização de documentos. A escolha impacta diretamente a camada de transformação de dados no </w:t>
      </w:r>
      <w:r>
        <w:rPr>
          <w:rFonts w:ascii="Courier New" w:hAnsi="Courier New"/>
          <w:b w:val="0"/>
          <w:i w:val="0"/>
          <w:color w:val="333333"/>
          <w:sz w:val="20"/>
        </w:rPr>
        <w:t>JiraService</w:t>
      </w:r>
      <w:r>
        <w:rPr>
          <w:rFonts w:ascii="Calibri" w:hAnsi="Calibri"/>
          <w:b w:val="0"/>
          <w:i w:val="0"/>
          <w:sz w:val="22"/>
        </w:rPr>
        <w:t xml:space="preserve"> e a qualidade percebida pelo usuário final ao visualizar os cards migrados.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Gatilho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Decisão de escolha de tecnologia com alto impacto arquitetural: o formato de serialização de texto escolhido afeta toda a camada de transformação de dados do </w:t>
      </w:r>
      <w:r>
        <w:rPr>
          <w:rFonts w:ascii="Courier New" w:hAnsi="Courier New"/>
          <w:b w:val="0"/>
          <w:i w:val="0"/>
          <w:color w:val="333333"/>
          <w:sz w:val="20"/>
        </w:rPr>
        <w:t>SensrJiraSync.Infrastructure</w:t>
      </w:r>
      <w:r>
        <w:rPr>
          <w:rFonts w:ascii="Calibri" w:hAnsi="Calibri"/>
          <w:b w:val="0"/>
          <w:i w:val="0"/>
          <w:sz w:val="22"/>
        </w:rPr>
        <w:t xml:space="preserve">, a serialização das requisições ao Jira e a estrutura do método </w:t>
      </w:r>
      <w:r>
        <w:rPr>
          <w:rFonts w:ascii="Courier New" w:hAnsi="Courier New"/>
          <w:b w:val="0"/>
          <w:i w:val="0"/>
          <w:color w:val="333333"/>
          <w:sz w:val="20"/>
        </w:rPr>
        <w:t>BuildAdfDocument</w:t>
      </w:r>
      <w:r>
        <w:rPr>
          <w:rFonts w:ascii="Calibri" w:hAnsi="Calibri"/>
          <w:b w:val="0"/>
          <w:i w:val="0"/>
          <w:sz w:val="22"/>
        </w:rPr>
        <w:t>. Atinge os dois gatilhos do PRO-GDE-001 que exigem análise formal de decisão: impacto em tecnologia (formato de dados da integração principal) e impacto arquitetural significativo (afeta múltiplos componentes da Infrastructure e o contrato com a API destino).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Alternativas consideradas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Texto plano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Enviar o conteúdo textual como string plana, sem formatação, após remoção das tags HTML do Sensr. Implementação mínima: apenas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HtmlHelper.ToPlainText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Encaminhar o HTML original do Sensr diretamente para o Jira, sem conversão de formato. Implementação mínima: passar o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sem transformação.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ADF (Atlassian Document Format)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Converter o conteúdo para ADF — formato JSON estruturado com árvore de nós tipados (paragraph, text, hardBreak, etc.) — conforme exigido pela API Jira v3. Requer implementação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BuildAdfDocument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HtmlHelper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Critérios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 com a API Jira v3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 não negociável da plataforma destino; alternativa incompatível resulta em falha de integração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visual do conteúdo migrado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Diretamente ligada à experiência do usuário final no Jira e à CA03 (critério de aceite de fidelidade do conteúdo)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de implementação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Impacta o cronograma da Fase 3; deve ser considerado, mas não pode sobrepor requisitos funcionais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 futura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Facilidade de evolução do serviço frente a mudanças da API Jira ou dos campos do Sensr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(matriz de decisão)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Escala de notas: 1 = baixo / inadequado · 2 = médio / parcial · 3 = alto / adequado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A — Texto plano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B — HTML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C — ADF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 com a API Jira v3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visual do conteúdo migrado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de implementação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 futura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ponderado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Detalhamento: Alt. A = (1×3) + (1×3) + (3×2) + (2×2) = 3 + 3 + 6 + 4 = </w:t>
      </w:r>
      <w:r>
        <w:rPr>
          <w:rFonts w:ascii="Calibri" w:hAnsi="Calibri"/>
          <w:b/>
          <w:i w:val="0"/>
          <w:sz w:val="22"/>
        </w:rPr>
        <w:t>16</w:t>
      </w:r>
      <w:r>
        <w:rPr>
          <w:rFonts w:ascii="Calibri" w:hAnsi="Calibri"/>
          <w:b w:val="0"/>
          <w:i w:val="0"/>
          <w:sz w:val="22"/>
        </w:rPr>
        <w:t xml:space="preserve">. Alt. B = (1×3) + (2×3) + (3×2) + (2×2) = 3 + 6 + 6 + 4 = </w:t>
      </w:r>
      <w:r>
        <w:rPr>
          <w:rFonts w:ascii="Calibri" w:hAnsi="Calibri"/>
          <w:b/>
          <w:i w:val="0"/>
          <w:sz w:val="22"/>
        </w:rPr>
        <w:t>19</w:t>
      </w:r>
      <w:r>
        <w:rPr>
          <w:rFonts w:ascii="Calibri" w:hAnsi="Calibri"/>
          <w:b w:val="0"/>
          <w:i w:val="0"/>
          <w:sz w:val="22"/>
        </w:rPr>
        <w:t xml:space="preserve">. Alt. C = (3×3) + (3×3) + (1×2) + (3×2) = 9 + 9 + 2 + 6 = </w:t>
      </w:r>
      <w:r>
        <w:rPr>
          <w:rFonts w:ascii="Calibri" w:hAnsi="Calibri"/>
          <w:b/>
          <w:i w:val="0"/>
          <w:sz w:val="22"/>
        </w:rPr>
        <w:t>26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Decisão e justificativa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 Alternativa C — ADF (Atlassian Document Format).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API Jira v3 retorna erro HTTP 400 ao receber texto plano ou HTML diretamente nos campos de descrição e comentário; ADF é o único formato suportado pela plataforma. A alternativa A falha no critério de compatibilidade e entregaria conteúdo sem nenhuma estrutura visual. A alternativa B também falha no critério de compatibilidade e, mesmo que fosse aceita, resultaria em tags HTML visíveis ao usuário final no Jira — degradando severamente a legibilidade. A alternativa C, apesar do maior esforço de implementação (nota 1 no critério), é a única que atende aos requisitos funcionais e ao critério de aceite CA03. O encapsulamento da lógica no método </w:t>
      </w:r>
      <w:r>
        <w:rPr>
          <w:rFonts w:ascii="Courier New" w:hAnsi="Courier New"/>
          <w:b w:val="0"/>
          <w:i w:val="0"/>
          <w:color w:val="333333"/>
          <w:sz w:val="20"/>
        </w:rPr>
        <w:t>JiraService.BuildAdfDocument</w:t>
      </w:r>
      <w:r>
        <w:rPr>
          <w:rFonts w:ascii="Calibri" w:hAnsi="Calibri"/>
          <w:b w:val="0"/>
          <w:i w:val="0"/>
          <w:sz w:val="22"/>
        </w:rPr>
        <w:t xml:space="preserve">, aliado ao </w:t>
      </w:r>
      <w:r>
        <w:rPr>
          <w:rFonts w:ascii="Courier New" w:hAnsi="Courier New"/>
          <w:b w:val="0"/>
          <w:i w:val="0"/>
          <w:color w:val="333333"/>
          <w:sz w:val="20"/>
        </w:rPr>
        <w:t>HtmlHelper</w:t>
      </w:r>
      <w:r>
        <w:rPr>
          <w:rFonts w:ascii="Calibri" w:hAnsi="Calibri"/>
          <w:b w:val="0"/>
          <w:i w:val="0"/>
          <w:sz w:val="22"/>
        </w:rPr>
        <w:t xml:space="preserve"> para conversão prévia do HTML do Sensr para texto plano, resulta em uma camada coesa, testável e isolada para futuras manutenções.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Riscos associados à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 / Mitigação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Evolução do esquema ADF pela Atlassian em versões futuras da API Jira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Toda a criação de ADF está encapsulada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BuildAdfDocument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(ponto único de mudança), facilitando atualização futura sem impacto no restante do serviço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 do parser HTML → ADF para estruturas HTML mais complexas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Uso da biblioteca HtmlAgilityPack (madura e amplamente adotada em .NET) e separação da lógica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HtmlHelper</w:t>
            </w:r>
            <w:r>
              <w:rPr>
                <w:rFonts w:ascii="Calibri" w:hAnsi="Calibri"/>
                <w:b w:val="0"/>
                <w:i w:val="0"/>
                <w:sz w:val="20"/>
              </w:rPr>
              <w:t>, permitindo testes unitários isolados da camada de transformação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Premissas (para revisão futura)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Jira v3 mantém o suporte a ADF como formato padrão de campos de texto rico ao longo do período de transição do cliente.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biblioteca HtmlAgilityPack permanece compatível com .NET 8 e recebe atualizações de manutenção conforme necessário.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escopo dos campos de texto migrados (descrição, histórico, comentários) não sofre expansão significativa que exija nós ADF não cobertos pela implementação atual de </w:t>
      </w:r>
      <w:r>
        <w:rPr>
          <w:rFonts w:ascii="Courier New" w:hAnsi="Courier New"/>
          <w:b w:val="0"/>
          <w:i w:val="0"/>
          <w:color w:val="333333"/>
          <w:sz w:val="20"/>
        </w:rPr>
        <w:t>BuildAdfDocument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Anexo — Registro consolidado de decisões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Estruturar a solução em três camadas: Core, Infrastructure e App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Separar contratos e modelos de domínio da implementação permite substituir serviços sem impactar a lógica de negócio e facilita a evolução futura do serviço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Autenticação por desenvolvedor no Sensr (token JWT individual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DeveloperConfig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do Sensr retorna atividades filtradas pelo usuário autenticado; autenticação compartilhada retornaria dados sem filtragem adequada por desenvolvedor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Identificar cards migrados pelo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campo summary do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Abordagem simples, sem dependência de campos personalizados no Jira; permite lookup eficiente sem necessidade de persistir estado entre execuções do serviço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Utilizar ADF (Atlassian Document Format) para campos de texto rico no Jira v3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Jira v3 exige ADF; envio de texto plano ou HTML resulta em erro HTTP 400. ADF é JSON estruturado com árvore de nós tipados — único formato suportado (RAD detalhado neste documento)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Converter HTML do Sensr para texto plano antes de montar o ADF no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Enviar HTML diretamente resultaria em tags de marcação visíveis para o usuário final no Jira; a conversão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HtmlHelper.ToPlainText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preserva o conteúdo sem poluição visual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limitada ao campo de 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Atualizar descrição e subtarefas a cada execução criaria risco real de sobrescrever edições manuais realizadas pelos desenvolvedores diretamente no Jira durante o período de transição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Executar o serviço como Azure Scheduled Job stateless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Persistir estado entre execuções adicionaria complexidade arquitetural desnecessária; a idempotência garantida pelo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elimina a necessidade de rastrear externamente o que já foi migrado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RAD da escolha do formato ADF para a API Jira v3 (D04) e registro consolidado das decisões D01–D07, reconstituídos a partir do Registro de Projeto AASP_Automacao-Governanca v2.0.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Reconciliação: nome padronizado (AASP_Automacao-Governanca); sobrenomes (Henry Komatsu, Felipe Siqueira, Jonathan Alves); data do RAD de D04 alinhada a 06/05/2026 (RAC).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GDE-AASPGOV01-001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