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AQUISIÇÃO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GUIA-CAP-012   ·   Versão Data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GUIA-CAP-012 — Mini-manual AQU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governa a contratação de fornecedores e a aquisição de produtos ou serviços externos. Garante que o que é adquirido atende aos requisitos e que o fornecedor cumpre os compromissos acordados.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há critérios definidos para selecionar fornecedores; (2) os requisitos e expectativas são acordados formalmente antes do início; (3) o desempenho do fornecedor é monitorado ao longo do engajamento; (4) os produtos ou serviços entregues são aceitos com base em critérios claros; (5) o encerramento é formal.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Aquisições sem processo formal criam ambiguidade nos dois lados: o fornecedor não sabe o que é exigido, e a Timeware não sabe como avaliar a entrega. O processo define os pontos de controle que protegem o resultado — dos requisitos ao aceite.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Identifique se o engajamento envolve aquisição de produto, serviço ou subcontratação (PRO-AQU-001 §1).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Defina os requisitos e critérios de aceite antes de contratar.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Selecione o fornecedor com base nos critérios definidos e registre a decisão.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Formalize o acordo (contrato, SOW, ordem de serviço) com escopo, prazo e critérios.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Monitore o desempenho ao longo do contrato e registre os aceites com base nos critérios definidos.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Tratar contratos como formalidade jurídica e não como referência operacional. Os critérios de aceite do contrato são os mesmos que guiam o monitoramento durante a execução — se estiverem vagos no contrato, o monitoramento não tem base.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GUIA-CAP-012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