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REG-CAP-007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REG-CAP-007   ·   Versão Data   ·   14/01/2026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13:00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(Coordenador MPS / SEPG)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MAT-CAP-018 — Trilha Devs; MAT-CAP-020 — Trilha QA; MAT-CAP-014 — Trilha Time de Melhoria/SEPG; GUIA-CAP-001 a 007 (processo-padrão completo)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GPR, REQ, PCP, VV, GCO, ITP, GDE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v1.2; AVA-CAP-003 v1.1 (Devs/QA); AVA-CAP-005 v1.0 (Flávio)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Fluxo completo do processo-padrão Timeware (Faixas 1, 2, 3)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PCP: Documento de Design, Definição de Pronto, code review obrigatório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VV: testes exploratórios, Gherkin (Dado/Quando/Então), evidências válidas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GCO: itens de configuração, baselines, controle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GQA: papel do auditor de processo — independência, o que verificar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Dados que Devs e QA alimentam no Jira para os 7 indicadores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68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Reprovado AVA-CAP-003 — ver REG-CAP-007B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Silva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Silva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Flávio Fernandes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/ Qualidade do 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82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Nota 68 em AVA-CAP-003 — dificuldade em VV (Gherkin) e no que registrar no Jira para medição.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de reforço agendada para fev/2026. Ver REG-CAP-007B.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Taxa de aprovação na 1ª tentativa: 4/5 (80%).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primeira sessão do time técnico (jan/2026)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14/01/2026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14/01/2026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REG-CAP-007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