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Data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(TPL-REQ-002).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projeto. A matriz estabelece a rastreabilidade bidirecional exigida pelo REQ 4: de cada necessidade/requisito até o design, o código e os testes, e no sentido inverso. Pode ser mantida aqui ou pelos vínculos nativos do Jira (épico → história → tarefa → caso de teste); neste caso, este documento referencia a estrutura do Jira.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RAST-PROJ-XXX]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[Para cada requisito, registre os elementos relacionados, permitindo rastrear em ambos os sentidos. Preencha conforme os identificadores reais do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no backlog/Jira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[necessidade do cliente]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[RF-01]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[tela/componente/serviço]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[épico/história]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[CT-01]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[pendente/atendido/verificado]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[RF-02]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[CT-02]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[Resumo da cobertura: todos os requisitos têm item de backlog e caso de teste associado? Aponte lacunas, se houver.]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Requisitos sem cobertura de teste: </w:t>
      </w:r>
      <w:r>
        <w:rPr>
          <w:rFonts w:ascii="Calibri" w:hAnsi="Calibri"/>
          <w:b w:val="0"/>
          <w:i/>
          <w:sz w:val="22"/>
        </w:rPr>
        <w:t>[listar ou "nenhum"]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Itens desenvolvidos sem requisito associado: </w:t>
      </w:r>
      <w:r>
        <w:rPr>
          <w:rFonts w:ascii="Calibri" w:hAnsi="Calibri"/>
          <w:b w:val="0"/>
          <w:i/>
          <w:sz w:val="22"/>
        </w:rPr>
        <w:t>[listar ou "nenhum"]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