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MATRIZ DE RASTREABILIDADE —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RASTR-PROFARMA01-001   ·   Versão Data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(evidência de projeto — rastreabilidade)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 rastreabilidade entre requisitos, componentes de implementação, casos de teste e status de entrega, garantindo que todos os requisitos funcionais e não funcionais foram implementados e verificados.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Rastreabilidade — Requisitos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 (resumida)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Endpoint(s)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Casos de teste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novo cliente (CPF como PK)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/clientes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T-CAD-01, T-CAD-03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Rejeição de CPF duplicado (HTTP 409)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/clientes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por CPF (GET)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/clientes/{cpf}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T-CAD-04, T-CAD-05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parcial (PATCH)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PATCH /clientes/{cpf}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Inativação lógica (LGPD)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DELETE /clientes/{cpf}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T-CAD-07, T-CAD-08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Busca por nome parcial com paginação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/clientes?nome=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 de auditoria (criação, atualização, inativação)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/clientes/{cpf}/auditoria (interno)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auditoria Sprint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inicial (~7M CPFs) via worker batch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/clientes/lote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 + execução Sprint 13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T-PERF-03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de existência de CPF (HEAD)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HEAD /clientes/{cpf}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Reativação de cliente inativo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PUT /clientes/{cpf}/reativar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Outbox pattern para integração ITEC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interno + tabela outbox_eventos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T-ITEC-01 a T-ITEC-04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Endpoints compatíveis com VTEX (OMNI)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/clientes/vtex; GET /clientes/vtex/{cpf}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T-VTEX-01 a T-VTEX-03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Endpoints para Call Center (SLA 500ms)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/clientes/{cpf}/call-center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performance Call Center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Notificação Propz CRM via Service Bus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Azure Service Bus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integração Propz Sprint 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BlueSoft (endereço + score)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/clientes/{cpf}/perfil-completo (parcial)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integração BlueSoft Sprint 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CloseUp (histórico de compras)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/clientes/{cpf}/perfil-completo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integração CloseUp Sprint 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de expurgo LGPD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batch diário interno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worker LGPD Sprint 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Health check (/health)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/health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Métricas Prometheus (/metrics)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/metrics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Datadog Sprint 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Cobertura de RF: 19/19 (100%)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Rastreabilidade — Requisitos Não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 (resumida)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 de atendimento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.NET 8 / Clean Architecture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 Azure DevOps — estrutura de camadas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PostgreSQL no Azure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Database for PostgreSQL Flexible Server provisionado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em AKS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Manifests Kubernetes no repositório; deploy confirmado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hardcode de URLs/segredos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código: zero ocorrências de segredos em código; Azure Key Vault configurado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API Key + OAuth 2.0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Middlewares de autenticação implementados e testados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500 req/s no GET /clientes/{cpf}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T-PERF-01: 500 req/s sem erros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Latência p95 ≤ 200ms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T-PERF-01: p95 = 142ms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Disponibilidade 99,5% mensal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Datadog: disponibilidade acima de 99,5% no piloto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Backup automático 7 dias + PITR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Database backup configurado (7 dias); PITR testado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Conformidade LGPD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 (inativação), RF-17 (expurgo), campos de auditoria, dados mínimos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273 testes unitários; cobertura ≥ 80%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273 testes unitários; cobertura: 84% Domain + Application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CI/CD com gates de qualidade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Azure DevOps configurada desde Sprint 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Datadog (APM, logs, alertas)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Datadog APM e alertas configurados; Sprint 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RNF-14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Mudanças arquiteturais aprovadas por Armando Junior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Evidências nos PRs do Azure DevOps com aprovação de Armando Junior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Cobertura de RNF: 14/14 (100%)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Rastreabilidade — Casos de teste por módulo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Módulo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Total de cenários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Executados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Passaram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Taxa de sucesso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e gerenciamento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ITEC Outbox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VTEX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 e carga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 (273 cenários)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Outros (integração, segurança, LGPD)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~50 (estimado)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~50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~50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~100%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Rastreabilidade — Change Requests e impacto em requisitos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Change Request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de aprovação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Requisitos adicionados/alterados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 de implementação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15/05/2025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 (auditoria detalhada com canal de origem)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20/06/2025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 (HEAD endpoint para PDV)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 retroativo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 (reativação de cliente)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RF-15 (BlueSoft), RF-16 (CloseUp) — novas integrações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8–9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RF-17 (worker LGPD)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6 retroativo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RNF-09 (backup + PITR) explicitado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01/09/2025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RF-14 acelerado — deadline Propz 04/12/2025 confirmado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7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15/09/2025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RF-19 (métricas Prometheus para Datadog)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5 retroativo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de contrato VTEX (novo schema CustomerProfile)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9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de contrato BlueSoft (novo campo score_credito)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01/11/2025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campo telefone_secundario em RF-01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14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de SLA Call Center de 1000ms para 500ms (RNF-13 atualizado)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RF-01 a RF-10, RNF-01 a RNF-08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de encerramento — cobertura total dos requisitos, change requests e status de entrega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RASTR-PROFARMA01-001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