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REQ-PROFARMA01-001   ·   Versão Data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os requisitos funcionais e não funcionais do sistema de Cadastro de Clientes da Rede D1000, servindo como base para o desenvolvimento, testes e rastreabilidade. Os requisitos foram levantados ao longo de sprints 1–4 (março a junho de 2025) e estabilizaram-se na Sprint 5, com ajustes pontuais documentados no histórico de revisões.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Glossário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Pessoas Físicas — chave primária do cliente no novo sistema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Sistema legado de retaguarda da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Outbox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Padrão de persistência de eventos para integração assíncrona confiável com o ITEC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 de Venda — terminal nas lojas físicas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Balcão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 de atendimento em loja físico-digital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OMNI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 e-commerce integrado via plataforma VTEX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PBM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Programa de Benefícios em Medicamentos — Interplayers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Gerenciamento de Mudanças (Change Management) — processo de autorização de deploy em produção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AKS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Kubernetes Service — plataforma de orquestração de containers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LGPD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Lei Geral de Proteção de Dados (Lei nº 13.709/2018)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Requisitos Funcionais</w:t>
      </w:r>
    </w:p>
    <w:p>
      <w:pPr>
        <w:pStyle w:val="Heading2"/>
        <w:keepNext/>
        <w:keepLines/>
      </w:pPr>
      <w:r>
        <w:t>3.1 Cadastro e gerenciamento de clientes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de origem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Est.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permitir o cadastro de um novo cliente com CPF como chave primária única. Os campos obrigatórios são: CPF, nome completo, data de nascimento, telefone e e-mail.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rejeitar cadastro de CPF já existente na base, retornando erro HTTP 409 com mensagem descritiva.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permitir a consulta de cliente por CPF via endpoint GET, retornando todos os dados cadastrais ativos.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permitir a atualização parcial (PATCH) dos dados cadastrais de um cliente existente (nome, endereço, telefone, e-mail, dados complementares).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permitir a inativação lógica de um cliente (LGPD — direito ao esquecimento), preservando integridade referencial e registrando o motivo e data da inativação.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permitir a consulta de cliente por nome parcial (search) com paginação de resultados.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registrar log de auditoria para toda operação de criação, atualização e inativação, com identificação do operador, canal de origem e timestamp.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suportar a carga inicial de aproximadamente 7 milhões de CPFs saneados da base legada ITEC, via worker batch dedicado.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expor endpoint de verificação de existência de CPF (HEAD /clientes/{cpf}) para uso do PDV sem retornar dados pessoais completos.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permitir a reativação de um cliente previamente inativado, mediante registro de motivo.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Integrações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de origem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Est.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publicar eventos de criação/atualização/inativação de cliente no outbox do banco de dados (PostgreSQL), consumidos pelo worker de integração com o ITEC legado. A consistência é eventual e tolerante a falhas transientes.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expor os endpoints de cadastro e consulta de cliente compatíveis com o contrato de API consumido pela plataforma VTEX (canal OMNI).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expor os endpoints necessários para o Call Center consultar e cadastrar clientes em tempo real (SLA de resposta: 95% das requisições em até 500ms).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notificar o Propz CRM de eventos de criação e atualização de cliente via Azure Service Bus, seguindo o schema de mensagem definido pela Propz.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integrar-se com a BlueSoft para sincronização de dados de endereço e score de crédito do cliente, quando disponíveis.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integrar-se com a CloseUp para consulta de histórico de compras do cliente, retornando dados agregados no endpoint de perfil completo.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3.3 Worker de expurgo (LGPD)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de origem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Est.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incluir um worker de expurgo que anonimize dados pessoais de clientes inativados há mais de 5 anos, conforme política LGPD, gerando log de auditoria de cada registro processado.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3.4 Administração e operação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 de origem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Est.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expor endpoint de health check (GET /health) retornando status dos componentes: banco de dados, filas e dependências externas críticas.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expor métricas no formato Prometheus para coleta pelo Datadog.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deve ser desenvolvida em .NET 8, seguindo os princípios de Clean Architecture (camadas Domain, Application, Infrastructure, API).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banco de dados principal deve ser PostgreSQL hospedado no Azure (Azure Database for PostgreSQL — Flexible Server).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Infraestrutura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deploy da aplicação deve ser realizado em contêineres Docker orquestrados pelo Azure Kubernetes Service (AKS).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Infraestrutura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 as URLs, strings de conexão e segredos devem ser armazenados no banco de dados ou Azure Key Vault — nunca hardcoded no código ou nos arquivos de configuração do repositório.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API deve implementar autenticação via API Key para canais PDV e Balcão; autenticação OAuth 2.0 para integrações sistema-a-sistema (VTEX, Propz).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suportar pico de 500 requisições/segundo no endpoint de consulta por CPF (GET /clientes/{cpf}) sem degradação de SLA.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tempo de resposta do endpoint de consulta por CPF deve ser ≤ 200ms (percentil 95) em condições normais de carga.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Performance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sistema deve estar disponível 99,5% do tempo medido mensalmente (excluindo janelas de manutenção programadas via GMUD).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Disponibilidade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banco de dados deve ter backup automático com retenção de 7 dias e capacidade de point-in-time recovery.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Resiliência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dados pessoais tratados pelo sistema devem seguir os princípios da LGPD: finalidade, adequação, necessidade, livre acesso, qualidade dos dados, transparência, segurança, prevenção, não discriminação e responsabilização.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Conformidade (LGPD)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cobertura de testes unitários deve ser de no mínimo 80% das linhas de código da camada de Application e Domain. O projeto deve atingir ao menos 273 cenários de teste unitário.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pipeline CI/CD deve ser configurado no Azure DevOps com gates de qualidade: build, testes unitários (passagem obrigatória) e análise estática.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monitoramento e observabilidade do sistema em produção devem ser realizados via Datadog (APM, logs e alertas).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Observabilidade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RNF-14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Mudanças arquiteturais significativas na solução requerem aprovação do Tech Lead D1000 (Armando Junior) antes da implementação.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Requisitos de Integração — Detalhamento</w:t>
      </w:r>
    </w:p>
    <w:p>
      <w:pPr>
        <w:pStyle w:val="Heading2"/>
        <w:keepNext/>
        <w:keepLines/>
      </w:pPr>
      <w:r>
        <w:t>5.1 ITEC (Legado)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Padrão:</w:t>
      </w:r>
      <w:r>
        <w:rPr>
          <w:rFonts w:ascii="Calibri" w:hAnsi="Calibri"/>
          <w:b w:val="0"/>
          <w:i w:val="0"/>
          <w:sz w:val="22"/>
        </w:rPr>
        <w:t xml:space="preserve"> Outbox pattern + worker assíncrono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Direção:</w:t>
      </w:r>
      <w:r>
        <w:rPr>
          <w:rFonts w:ascii="Calibri" w:hAnsi="Calibri"/>
          <w:b w:val="0"/>
          <w:i w:val="0"/>
          <w:sz w:val="22"/>
        </w:rPr>
        <w:t xml:space="preserve"> Cadastro de Clientes → ITEC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Eventos publicados:</w:t>
      </w:r>
      <w:r>
        <w:rPr>
          <w:rFonts w:ascii="Calibri" w:hAnsi="Calibri"/>
          <w:b w:val="0"/>
          <w:i w:val="0"/>
          <w:sz w:val="22"/>
        </w:rPr>
        <w:t xml:space="preserve"> ClienteCriado, ClienteAtualizado, ClienteInativado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Garantia:</w:t>
      </w:r>
      <w:r>
        <w:rPr>
          <w:rFonts w:ascii="Calibri" w:hAnsi="Calibri"/>
          <w:b w:val="0"/>
          <w:i w:val="0"/>
          <w:sz w:val="22"/>
        </w:rPr>
        <w:t xml:space="preserve"> At-least-once delivery com idempotência no ITEC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Schema:</w:t>
      </w:r>
      <w:r>
        <w:rPr>
          <w:rFonts w:ascii="Calibri" w:hAnsi="Calibri"/>
          <w:b w:val="0"/>
          <w:i w:val="0"/>
          <w:sz w:val="22"/>
        </w:rPr>
        <w:t xml:space="preserve"> JSON definido em conjunto com a equipe ITEC durante Sprint 3</w:t>
      </w:r>
    </w:p>
    <w:p>
      <w:pPr>
        <w:pStyle w:val="Heading2"/>
        <w:keepNext/>
        <w:keepLines/>
      </w:pPr>
      <w:r>
        <w:t>5.2 VTEX (OMNI)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Padrão:</w:t>
      </w:r>
      <w:r>
        <w:rPr>
          <w:rFonts w:ascii="Calibri" w:hAnsi="Calibri"/>
          <w:b w:val="0"/>
          <w:i w:val="0"/>
          <w:sz w:val="22"/>
        </w:rPr>
        <w:t xml:space="preserve"> REST síncrono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Direção:</w:t>
      </w:r>
      <w:r>
        <w:rPr>
          <w:rFonts w:ascii="Calibri" w:hAnsi="Calibri"/>
          <w:b w:val="0"/>
          <w:i w:val="0"/>
          <w:sz w:val="22"/>
        </w:rPr>
        <w:t xml:space="preserve"> VTEX → Cadastro de Clientes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Endpoints expostos:</w:t>
      </w:r>
      <w:r>
        <w:rPr>
          <w:rFonts w:ascii="Calibri" w:hAnsi="Calibri"/>
          <w:b w:val="0"/>
          <w:i w:val="0"/>
          <w:sz w:val="22"/>
        </w:rPr>
        <w:t xml:space="preserve"> RF-12 (cadastro e consulta)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Autenticação:</w:t>
      </w:r>
      <w:r>
        <w:rPr>
          <w:rFonts w:ascii="Calibri" w:hAnsi="Calibri"/>
          <w:b w:val="0"/>
          <w:i w:val="0"/>
          <w:sz w:val="22"/>
        </w:rPr>
        <w:t xml:space="preserve"> API Key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Schema:</w:t>
      </w:r>
      <w:r>
        <w:rPr>
          <w:rFonts w:ascii="Calibri" w:hAnsi="Calibri"/>
          <w:b w:val="0"/>
          <w:i w:val="0"/>
          <w:sz w:val="22"/>
        </w:rPr>
        <w:t xml:space="preserve"> Contrato VTEX CustomerProfile API adaptado</w:t>
      </w:r>
    </w:p>
    <w:p>
      <w:pPr>
        <w:pStyle w:val="Heading2"/>
        <w:keepNext/>
        <w:keepLines/>
      </w:pPr>
      <w:r>
        <w:t>5.3 Propz CRM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Padrão:</w:t>
      </w:r>
      <w:r>
        <w:rPr>
          <w:rFonts w:ascii="Calibri" w:hAnsi="Calibri"/>
          <w:b w:val="0"/>
          <w:i w:val="0"/>
          <w:sz w:val="22"/>
        </w:rPr>
        <w:t xml:space="preserve"> Azure Service Bus (mensageria assíncrona)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Direção:</w:t>
      </w:r>
      <w:r>
        <w:rPr>
          <w:rFonts w:ascii="Calibri" w:hAnsi="Calibri"/>
          <w:b w:val="0"/>
          <w:i w:val="0"/>
          <w:sz w:val="22"/>
        </w:rPr>
        <w:t xml:space="preserve"> Cadastro de Clientes → Propz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Eventos publicados:</w:t>
      </w:r>
      <w:r>
        <w:rPr>
          <w:rFonts w:ascii="Calibri" w:hAnsi="Calibri"/>
          <w:b w:val="0"/>
          <w:i w:val="0"/>
          <w:sz w:val="22"/>
        </w:rPr>
        <w:t xml:space="preserve"> ClienteCriado, ClienteAtualizado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Schema:</w:t>
      </w:r>
      <w:r>
        <w:rPr>
          <w:rFonts w:ascii="Calibri" w:hAnsi="Calibri"/>
          <w:b w:val="0"/>
          <w:i w:val="0"/>
          <w:sz w:val="22"/>
        </w:rPr>
        <w:t xml:space="preserve"> definido pela Propz, validado em Sprint 7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Deadline de integração:</w:t>
      </w:r>
      <w:r>
        <w:rPr>
          <w:rFonts w:ascii="Calibri" w:hAnsi="Calibri"/>
          <w:b w:val="0"/>
          <w:i w:val="0"/>
          <w:sz w:val="22"/>
        </w:rPr>
        <w:t xml:space="preserve"> 04/12/2025 (marco contratual)</w:t>
      </w:r>
    </w:p>
    <w:p>
      <w:pPr>
        <w:pStyle w:val="Heading2"/>
        <w:keepNext/>
        <w:keepLines/>
      </w:pPr>
      <w:r>
        <w:t>5.4 PBM / Interplayers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Padrão:</w:t>
      </w:r>
      <w:r>
        <w:rPr>
          <w:rFonts w:ascii="Calibri" w:hAnsi="Calibri"/>
          <w:b w:val="0"/>
          <w:i w:val="0"/>
          <w:sz w:val="22"/>
        </w:rPr>
        <w:t xml:space="preserve"> REST síncrono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Direção:</w:t>
      </w:r>
      <w:r>
        <w:rPr>
          <w:rFonts w:ascii="Calibri" w:hAnsi="Calibri"/>
          <w:b w:val="0"/>
          <w:i w:val="0"/>
          <w:sz w:val="22"/>
        </w:rPr>
        <w:t xml:space="preserve"> bidirecional (consulta e atualização de programa de benefícios)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Endpoints:</w:t>
      </w:r>
      <w:r>
        <w:rPr>
          <w:rFonts w:ascii="Calibri" w:hAnsi="Calibri"/>
          <w:b w:val="0"/>
          <w:i w:val="0"/>
          <w:sz w:val="22"/>
        </w:rPr>
        <w:t xml:space="preserve"> identificados em Sprint 8</w:t>
      </w:r>
    </w:p>
    <w:p>
      <w:pPr>
        <w:pStyle w:val="Heading2"/>
        <w:keepNext/>
        <w:keepLines/>
      </w:pPr>
      <w:r>
        <w:t>5.5 BlueSoft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Padrão:</w:t>
      </w:r>
      <w:r>
        <w:rPr>
          <w:rFonts w:ascii="Calibri" w:hAnsi="Calibri"/>
          <w:b w:val="0"/>
          <w:i w:val="0"/>
          <w:sz w:val="22"/>
        </w:rPr>
        <w:t xml:space="preserve"> REST síncrono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Direção:</w:t>
      </w:r>
      <w:r>
        <w:rPr>
          <w:rFonts w:ascii="Calibri" w:hAnsi="Calibri"/>
          <w:b w:val="0"/>
          <w:i w:val="0"/>
          <w:sz w:val="22"/>
        </w:rPr>
        <w:t xml:space="preserve"> Cadastro de Clientes → BlueSoft (consulta de score/endereço)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Sprint de implementação:</w:t>
      </w:r>
      <w:r>
        <w:rPr>
          <w:rFonts w:ascii="Calibri" w:hAnsi="Calibri"/>
          <w:b w:val="0"/>
          <w:i w:val="0"/>
          <w:sz w:val="22"/>
        </w:rPr>
        <w:t xml:space="preserve"> Sprint 8</w:t>
      </w:r>
    </w:p>
    <w:p>
      <w:pPr>
        <w:pStyle w:val="Heading2"/>
        <w:keepNext/>
        <w:keepLines/>
      </w:pPr>
      <w:r>
        <w:t>5.6 CloseUp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Padrão:</w:t>
      </w:r>
      <w:r>
        <w:rPr>
          <w:rFonts w:ascii="Calibri" w:hAnsi="Calibri"/>
          <w:b w:val="0"/>
          <w:i w:val="0"/>
          <w:sz w:val="22"/>
        </w:rPr>
        <w:t xml:space="preserve"> REST síncrono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Direção:</w:t>
      </w:r>
      <w:r>
        <w:rPr>
          <w:rFonts w:ascii="Calibri" w:hAnsi="Calibri"/>
          <w:b w:val="0"/>
          <w:i w:val="0"/>
          <w:sz w:val="22"/>
        </w:rPr>
        <w:t xml:space="preserve"> Cadastro de Clientes → CloseUp (consulta de histórico)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Sprint de implementação:</w:t>
      </w:r>
      <w:r>
        <w:rPr>
          <w:rFonts w:ascii="Calibri" w:hAnsi="Calibri"/>
          <w:b w:val="0"/>
          <w:i w:val="0"/>
          <w:sz w:val="22"/>
        </w:rPr>
        <w:t xml:space="preserve"> Sprint 9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Endpoints da API (resumo dos 16 endpoints)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 relacionado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Criação de novo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RF-01, RF-02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/clientes/{cpf}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cliente por CPF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/clientes/{cpf}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parcial de dados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/clientes/{cpf}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Inativação lógica (LGPD)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Busca por nome (search + paginação)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/clientes/{cpf}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existência de CPF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/clientes/{cpf}/reativar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Reativação de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/clientes/{cpf}/perfil-completo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Perfil completo com histórico CloseUp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/clientes/{cpf}/programa-beneficios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PBM / Interplayers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/clientes/lote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em lote (migration worker)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/clientes/{cpf}/auditoria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 de auditoria do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/health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Health check dos componentes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/metrics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Métricas Prometheus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/clientes/vtex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 compatível VTEX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/clientes/vtex/{cpf}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Consulta compatível VTEX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/clientes/{cpf}/call-center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Perfil resumido para Call 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Restrições e premissas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requisitos foram levantados de forma iterativa ao longo dos sprints; as mudanças de escopo foram formalizadas via processo de change request conforme GMUD.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base legada ITEC tem inconsistências históricas (duplicatas por CPF, registros incompletos); o saneamento foi responsabilidade do DBA Marcus Ribeiro (Profarma) com suporte do time Timeware.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Requisitos de integração com BlueSoft e CloseUp entraram no escopo após Sprint 6 (change request aprovado em agosto/2025).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requisito RF-14 (Propz CRM) teve sua implementação e testes acelerados para atender ao marco de 04/12/2025.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Confirmação de entendimento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D1000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de design (REV-001, 09/05/2025) + aprovação das decisões arquiteturais GDE-001/GDE-002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09/05/2025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 Moreira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Coordenadora de Projeto D1000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Participação nas Sprint Reviews + aceites parciais por e-mail (Sprints 1–17)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Contínuo Sprints 1–17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Julielle Santos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D1000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dos roteiros de teste (VV §5) + execução UAT + aceite de homologação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Set/2025–Jan/2026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TI D1000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do projeto (ATA-PROFARMA01-002, 29/01/2026)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requisitos foram revisados e confirmados de forma iterativa ao longo do projeto: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Versão 1.0 (RF-01 a RF-10, RNF-01 a RNF-08):</w:t>
      </w:r>
      <w:r>
        <w:rPr>
          <w:rFonts w:ascii="Calibri" w:hAnsi="Calibri"/>
          <w:b w:val="0"/>
          <w:i w:val="0"/>
          <w:sz w:val="22"/>
        </w:rPr>
        <w:t xml:space="preserve"> confirmados na Sprint Review da Fase 1 (Junho/2025) com presença de Armando Junior e Helena Moreira.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Change requests CR-01 a CR-12:</w:t>
      </w:r>
      <w:r>
        <w:rPr>
          <w:rFonts w:ascii="Calibri" w:hAnsi="Calibri"/>
          <w:b w:val="0"/>
          <w:i w:val="0"/>
          <w:sz w:val="22"/>
        </w:rPr>
        <w:t xml:space="preserve"> cada requisito adicionado ou alterado foi confirmado com aprovação formal antes da implementação, evidenciado na RASTR-PROFARMA01-001 §5 e auditado na GQA-P02 (10/10/2025).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Confirmação final:</w:t>
      </w:r>
      <w:r>
        <w:rPr>
          <w:rFonts w:ascii="Calibri" w:hAnsi="Calibri"/>
          <w:b w:val="0"/>
          <w:i w:val="0"/>
          <w:sz w:val="22"/>
        </w:rPr>
        <w:t xml:space="preserve"> aceite formal de Humberto Erler em 29/01/2026 (ATA-PROFARMA01-002), atestando que todos os 19 RF e 14 RNF foram atendidos conforme os critérios de saída verificados.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GQA-P01 registrou NC-01 (requisitos documentados retroativamente para os Sprints 1–3); a ação corretiva foi executada até 30/06/2025 e confirmada como resolvida na GQA-P02.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requisitos RF-01 a RF-10, RNF-01 a RNF-08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RF-15, RF-16 (BlueSoft e CloseUp), RF-17 (worker expurgo LGPD), RNF-09 a RNF-14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de encerramento — reconstituída com base nas entregas, change requests e transcrições do período 04/2025–01/2026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da seção §8 (Confirmação de entendimento dos requisitos) para conformidade com MPS-SW REQ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Acréscimo da coluna SP Est. nas tabelas de RF (RF-01 a RF-19, total 294 SP) para consistência com a planilha de gestão do projeto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REQ-PROFARMA01-001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