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Registro de Adaptação do Processo — MilhasFacil · Busca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ADAP-MILHASFACIL01-001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Código do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Organização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 Brasil Softwares e Serviços LTDA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Situação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Aprovado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Tech Lead / Arquiteto / DevOps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GPR (evidência de projeto — adaptação do processo padrão)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Objetivo</w:t>
      </w:r>
    </w:p>
    <w:p>
      <w:r>
        <w:t>Registrar as adaptações aplicadas ao processo-padrão de desenvolvimento Timeware para a execução do projeto MilhasFacil — Busca de Milhas, justificando cada decisão de tailoring e seus impactos no planejamento e na operação do ciclo de vida.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Adaptações aplicadas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 do processo-padrão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Decisão de adaptação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Justificativa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A-01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Pipeline de CI executado em agente Linux padrão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Pipelines executadas em agente Windows (Default) com tasks </w:t>
            </w:r>
            <w:r>
              <w:rPr>
                <w:b/>
                <w:sz w:val="17"/>
              </w:rPr>
              <w:t>PowerShell@2</w:t>
            </w:r>
            <w:r>
              <w:rPr>
                <w:sz w:val="17"/>
              </w:rPr>
              <w:t xml:space="preserve"> nas três pipelines ("MilhasFacil API/Web/Crawler - Pipeline")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Agente Windows é o recurso disponível na organização; padronização das tasks em PowerShell@2 reduz divergência entre as três pipelines. Mitiga o risco R-05 (pipeline de CI em agente Windows)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A-02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Histórico de repositório construído incrementalmente desde a primeira sprint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Histórico dos repositórios (MilhasFacil_api, MilhasFacil_web, MilhasFacil_crawler) </w:t>
            </w:r>
            <w:r>
              <w:rPr>
                <w:b/>
                <w:sz w:val="17"/>
              </w:rPr>
              <w:t>inicializado de forma consolidada</w:t>
            </w:r>
            <w:r>
              <w:rPr>
                <w:sz w:val="17"/>
              </w:rPr>
              <w:t xml:space="preserve"> (retroativa); saneamento prospectivo a partir da S9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 integração ao Azure DevOps ocorreu de forma retroativa; datas reais de PR e build concentram-se em 13–15/06/2026. Os </w:t>
            </w:r>
            <w:r>
              <w:rPr>
                <w:b/>
                <w:sz w:val="17"/>
              </w:rPr>
              <w:t>22 PRs históricos (S1–S8)</w:t>
            </w:r>
            <w:r>
              <w:rPr>
                <w:sz w:val="17"/>
              </w:rPr>
              <w:t xml:space="preserve"> permanecem </w:t>
            </w:r>
            <w:r>
              <w:rPr>
                <w:b/>
                <w:sz w:val="17"/>
              </w:rPr>
              <w:t>sem revisor registrado</w:t>
            </w:r>
            <w:r>
              <w:rPr>
                <w:sz w:val="17"/>
              </w:rPr>
              <w:t xml:space="preserve"> por serem fruto da consolidação histórica (PR concluído é imutável). A partir da S9 a revisão de PR está </w:t>
            </w:r>
            <w:r>
              <w:rPr>
                <w:b/>
                <w:sz w:val="17"/>
              </w:rPr>
              <w:t>evidenciada</w:t>
            </w:r>
            <w:r>
              <w:rPr>
                <w:sz w:val="17"/>
              </w:rPr>
              <w:t xml:space="preserve">: os </w:t>
            </w:r>
            <w:r>
              <w:rPr>
                <w:b/>
                <w:sz w:val="17"/>
              </w:rPr>
              <w:t>6 PRs da S9</w:t>
            </w:r>
            <w:r>
              <w:rPr>
                <w:sz w:val="17"/>
              </w:rPr>
              <w:t xml:space="preserve"> (API #11/#12/#28, Web #21/#22, Crawler #27) foram </w:t>
            </w:r>
            <w:r>
              <w:rPr>
                <w:b/>
                <w:sz w:val="17"/>
              </w:rPr>
              <w:t>concluídos em 15/06 com revisor Cézar Velazquez (TL) — Approved (vote 10)</w:t>
            </w:r>
            <w:r>
              <w:rPr>
                <w:sz w:val="17"/>
              </w:rPr>
              <w:t xml:space="preserve">, registrado no Azure DevOps sob a conta legada </w:t>
            </w:r>
            <w:r>
              <w:rPr>
                <w:rFonts w:ascii="Consolas" w:hAnsi="Consolas"/>
                <w:color w:val="444444"/>
                <w:sz w:val="17"/>
              </w:rPr>
              <w:t>Mateus Veloso</w:t>
            </w:r>
            <w:r>
              <w:rPr>
                <w:sz w:val="17"/>
              </w:rPr>
              <w:t xml:space="preserve">, e mergeados em develop; foi ativada a </w:t>
            </w:r>
            <w:r>
              <w:rPr>
                <w:b/>
                <w:sz w:val="17"/>
              </w:rPr>
              <w:t>branch policy</w:t>
            </w:r>
            <w:r>
              <w:rPr>
                <w:sz w:val="17"/>
              </w:rPr>
              <w:t xml:space="preserve"> de revisor (≥1 revisor) em develop nos três repositórios, impedindo recorrência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A-03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Gate de cobertura de testes ativo desde o Sprint 1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Gate de cobertura (JaCoCo 80% na API) </w:t>
            </w:r>
            <w:r>
              <w:rPr>
                <w:b/>
                <w:sz w:val="17"/>
              </w:rPr>
              <w:t>ativado a partir da Sprint 4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 NC-001 (cobertura &lt;80%, JaCoCo 74% na S2) motivou a priorização de testes unitários e a introdução do gate de CI a partir da S4; a NC foi encerrada na S5 (JaCoCo 82%)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A-04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Revisão de PR com dois revisores independentes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Revisão com </w:t>
            </w:r>
            <w:r>
              <w:rPr>
                <w:b/>
                <w:sz w:val="17"/>
              </w:rPr>
              <w:t>um revisor</w:t>
            </w:r>
            <w:r>
              <w:rPr>
                <w:sz w:val="17"/>
              </w:rPr>
              <w:t xml:space="preserve"> — o Tech Lead/Arquiteto </w:t>
            </w:r>
            <w:r>
              <w:rPr>
                <w:b/>
                <w:sz w:val="17"/>
              </w:rPr>
              <w:t>Cézar Velazquez</w:t>
            </w:r>
            <w:r>
              <w:rPr>
                <w:sz w:val="17"/>
              </w:rPr>
              <w:t xml:space="preserve"> aprova os PRs (Approved, vote 10); no Azure DevOps a aprovação aparece sob a conta legada </w:t>
            </w:r>
            <w:r>
              <w:rPr>
                <w:rFonts w:ascii="Consolas" w:hAnsi="Consolas"/>
                <w:color w:val="444444"/>
                <w:sz w:val="17"/>
              </w:rPr>
              <w:t>Mateus Veloso</w:t>
            </w:r>
            <w:r>
              <w:rPr>
                <w:sz w:val="17"/>
              </w:rPr>
              <w:t xml:space="preserve"> (= Cézar)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Equipe enxuta com três desenvolvedores efetivos; o Tech Lead concentra a aprovação técnica dos PRs, mantendo o gate de aprovação sem ampliar o lead time. A branch policy de revisor em develop (S9) torna o revisor obrigatório nos três repositórios. A aprovação de escopo/CR é responsabilidade do GP (Abraão)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A-05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Cadastro de dados de referência em banco de dados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Lista de aeroportos (IATA) mantida </w:t>
            </w:r>
            <w:r>
              <w:rPr>
                <w:b/>
                <w:sz w:val="17"/>
              </w:rPr>
              <w:t>fixa em código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444444"/>
                <w:sz w:val="17"/>
              </w:rPr>
              <w:t>SearchService</w:t>
            </w:r>
            <w:r>
              <w:rPr>
                <w:sz w:val="17"/>
              </w:rPr>
              <w:t xml:space="preserve">) na linha principal até a release v0.9.0; a partir de v0.9.0, busca de aeroportos atendida por </w:t>
            </w:r>
            <w:r>
              <w:rPr>
                <w:b/>
                <w:sz w:val="17"/>
              </w:rPr>
              <w:t>AirportController/AirportRepository</w:t>
            </w:r>
            <w:r>
              <w:rPr>
                <w:sz w:val="17"/>
              </w:rPr>
              <w:t xml:space="preserve"> com índice </w:t>
            </w:r>
            <w:r>
              <w:rPr>
                <w:rFonts w:ascii="Consolas" w:hAnsi="Consolas"/>
                <w:color w:val="444444"/>
                <w:sz w:val="17"/>
              </w:rPr>
              <w:t>V9__airport_search_index.sql</w:t>
            </w:r>
            <w:r>
              <w:rPr>
                <w:sz w:val="17"/>
              </w:rPr>
              <w:t xml:space="preserve"> (MF-64)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Volume estável e pequeno de aeroportos; a lista em código simplificou o deploy nas primeiras sprints. Na S9 a busca passou a ser servida por consulta paginada case-insensitive (ILIKE + extensão </w:t>
            </w:r>
            <w:r>
              <w:rPr>
                <w:rFonts w:ascii="Consolas" w:hAnsi="Consolas"/>
                <w:color w:val="444444"/>
                <w:sz w:val="17"/>
              </w:rPr>
              <w:t>unaccent</w:t>
            </w:r>
            <w:r>
              <w:rPr>
                <w:sz w:val="17"/>
              </w:rPr>
              <w:t>), released em main na v0.9.0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A-06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Combinação de papéis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O </w:t>
            </w:r>
            <w:r>
              <w:rPr>
                <w:b/>
                <w:sz w:val="17"/>
              </w:rPr>
              <w:t>GP (Abraão)</w:t>
            </w:r>
            <w:r>
              <w:rPr>
                <w:sz w:val="17"/>
              </w:rPr>
              <w:t xml:space="preserve"> faz gestão e </w:t>
            </w:r>
            <w:r>
              <w:rPr>
                <w:b/>
                <w:sz w:val="17"/>
              </w:rPr>
              <w:t>não codifica</w:t>
            </w:r>
            <w:r>
              <w:rPr>
                <w:sz w:val="17"/>
              </w:rPr>
              <w:t xml:space="preserve"> (fora do DevOps); o </w:t>
            </w:r>
            <w:r>
              <w:rPr>
                <w:b/>
                <w:sz w:val="17"/>
              </w:rPr>
              <w:t>Tech Lead Cézar Velazquez</w:t>
            </w:r>
            <w:r>
              <w:rPr>
                <w:sz w:val="17"/>
              </w:rPr>
              <w:t xml:space="preserve"> acumula os papéis de </w:t>
            </w:r>
            <w:r>
              <w:rPr>
                <w:b/>
                <w:sz w:val="17"/>
              </w:rPr>
              <w:t>Arquiteto e DevOps</w:t>
            </w:r>
            <w:r>
              <w:rPr>
                <w:sz w:val="17"/>
              </w:rPr>
              <w:t xml:space="preserve"> e é o revisor de PR; a </w:t>
            </w:r>
            <w:r>
              <w:rPr>
                <w:b/>
                <w:sz w:val="17"/>
              </w:rPr>
              <w:t>GQA (Carol/Caroline)</w:t>
            </w:r>
            <w:r>
              <w:rPr>
                <w:sz w:val="17"/>
              </w:rPr>
              <w:t xml:space="preserve"> é </w:t>
            </w:r>
            <w:r>
              <w:rPr>
                <w:b/>
                <w:sz w:val="17"/>
              </w:rPr>
              <w:t>independente</w:t>
            </w:r>
            <w:r>
              <w:rPr>
                <w:sz w:val="17"/>
              </w:rPr>
              <w:t xml:space="preserve"> (auditoria de processo), não codifica e fica fora do DevOps; o QA de teste manual é Jonathan Alves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Equipe contratada enxuta; concentração dos papéis técnicos (TL/Arquiteto/DevOps) em Cézar para viabilidade operacional, preservando a </w:t>
            </w:r>
            <w:r>
              <w:rPr>
                <w:b/>
                <w:sz w:val="17"/>
              </w:rPr>
              <w:t>independência da GQA (Carol)</w:t>
            </w:r>
            <w:r>
              <w:rPr>
                <w:sz w:val="17"/>
              </w:rPr>
              <w:t xml:space="preserve"> em relação ao desenvolvimento e a separação do GP (gestão) da execução técnica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A-07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Notificação síncrona obrigatória ao usuário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Envio de WhatsApp via Z-API (</w:t>
            </w:r>
            <w:r>
              <w:rPr>
                <w:rFonts w:ascii="Consolas" w:hAnsi="Consolas"/>
                <w:color w:val="444444"/>
                <w:sz w:val="17"/>
              </w:rPr>
              <w:t>WhatsAppClient</w:t>
            </w:r>
            <w:r>
              <w:rPr>
                <w:sz w:val="17"/>
              </w:rPr>
              <w:t xml:space="preserve">) tratado como </w:t>
            </w:r>
            <w:r>
              <w:rPr>
                <w:b/>
                <w:sz w:val="17"/>
              </w:rPr>
              <w:t>best-effort</w:t>
            </w:r>
            <w:r>
              <w:rPr>
                <w:sz w:val="17"/>
              </w:rPr>
              <w:t>: falha no envio não interrompe o fluxo de alerta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Disponibilidade da Z-API é externa (risco R-03); o serviço de alerta (</w:t>
            </w:r>
            <w:r>
              <w:rPr>
                <w:rFonts w:ascii="Consolas" w:hAnsi="Consolas"/>
                <w:color w:val="444444"/>
                <w:sz w:val="17"/>
              </w:rPr>
              <w:t>ScheduledAlertService</w:t>
            </w:r>
            <w:r>
              <w:rPr>
                <w:sz w:val="17"/>
              </w:rPr>
              <w:t>) prossegue mesmo em caso de falha de notificação, com dedupe por origem-destino-milhas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A-08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Prefixo de branch de funcionalidade </w:t>
            </w:r>
            <w:r>
              <w:rPr>
                <w:rFonts w:ascii="Consolas" w:hAnsi="Consolas"/>
                <w:color w:val="444444"/>
                <w:sz w:val="17"/>
              </w:rPr>
              <w:t>feature/...</w:t>
            </w:r>
            <w:r>
              <w:rPr>
                <w:sz w:val="17"/>
              </w:rPr>
              <w:t xml:space="preserve"> (PLA-GCO-001 §4.1)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Adotados os prefixos </w:t>
            </w:r>
            <w:r>
              <w:rPr>
                <w:b/>
                <w:sz w:val="17"/>
              </w:rPr>
              <w:t>`feat/`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`fix/`</w:t>
            </w:r>
            <w:r>
              <w:rPr>
                <w:sz w:val="17"/>
              </w:rPr>
              <w:t xml:space="preserve"> seguidos da chave Jira (</w:t>
            </w:r>
            <w:r>
              <w:rPr>
                <w:rFonts w:ascii="Consolas" w:hAnsi="Consolas"/>
                <w:color w:val="444444"/>
                <w:sz w:val="17"/>
              </w:rPr>
              <w:t>feat/MF-XX-...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444444"/>
                <w:sz w:val="17"/>
              </w:rPr>
              <w:t>fix/MF-XX-...</w:t>
            </w:r>
            <w:r>
              <w:rPr>
                <w:sz w:val="17"/>
              </w:rPr>
              <w:t>), no padrão Conventional Branches/Commits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Alinhamento com os tipos de Conventional Commits usados no projeto (feat/fix/test/chore/ci) e com a chave de rastreabilidade MF-XX (RNF04); estratégia main/develop/feature do PLA-GCO-001 mantida na essência. O saneamento da política de branch foi concluído na S9 com a ativação da branch policy de revisor em develop nos três repositórios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A-09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Nomenclatura de scripts SQL </w:t>
            </w:r>
            <w:r>
              <w:rPr>
                <w:rFonts w:ascii="Consolas" w:hAnsi="Consolas"/>
                <w:color w:val="444444"/>
                <w:sz w:val="17"/>
              </w:rPr>
              <w:t>0001-create-…-table.sql</w:t>
            </w:r>
            <w:r>
              <w:rPr>
                <w:sz w:val="17"/>
              </w:rPr>
              <w:t xml:space="preserve"> (GUIA-GCO-001 §4)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Migrations versionadas pela convenção do </w:t>
            </w:r>
            <w:r>
              <w:rPr>
                <w:b/>
                <w:sz w:val="17"/>
              </w:rPr>
              <w:t>Flyway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444444"/>
                <w:sz w:val="17"/>
              </w:rPr>
              <w:t>V1__create_users.sql</w:t>
            </w:r>
            <w:r>
              <w:rPr>
                <w:sz w:val="17"/>
              </w:rPr>
              <w:t xml:space="preserve"> … </w:t>
            </w:r>
            <w:r>
              <w:rPr>
                <w:rFonts w:ascii="Consolas" w:hAnsi="Consolas"/>
                <w:color w:val="444444"/>
                <w:sz w:val="17"/>
              </w:rPr>
              <w:t>V5__…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444444"/>
                <w:sz w:val="17"/>
              </w:rPr>
              <w:t>V9__airport_search_index.sql</w:t>
            </w:r>
            <w:r>
              <w:rPr>
                <w:sz w:val="17"/>
              </w:rPr>
              <w:t xml:space="preserve">); padronização de nomenclatura de BD em curso via </w:t>
            </w:r>
            <w:r>
              <w:rPr>
                <w:b/>
                <w:sz w:val="17"/>
              </w:rPr>
              <w:t>PR #29 (MF-73)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444444"/>
                <w:sz w:val="17"/>
              </w:rPr>
              <w:t>V10__fix_naming_conventions.sql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 ferramenta Flyway exige o prefixo </w:t>
            </w:r>
            <w:r>
              <w:rPr>
                <w:rFonts w:ascii="Consolas" w:hAnsi="Consolas"/>
                <w:color w:val="444444"/>
                <w:sz w:val="17"/>
              </w:rPr>
              <w:t>V&lt;n&gt;__</w:t>
            </w:r>
            <w:r>
              <w:rPr>
                <w:sz w:val="17"/>
              </w:rPr>
              <w:t xml:space="preserve">; a numeração sequencial e o controle de versão do schema (objetivo do guia) são plenamente atendidos pela convenção nativa. O PR #29 (MF-73, chore — padronização de nomenclatura de BD conforme GUIA-GCO-001) introduz a migration V10 (padronização de índices + coluna </w:t>
            </w:r>
            <w:r>
              <w:rPr>
                <w:rFonts w:ascii="Consolas" w:hAnsi="Consolas"/>
                <w:color w:val="444444"/>
                <w:sz w:val="17"/>
              </w:rPr>
              <w:t>is_active</w:t>
            </w:r>
            <w:r>
              <w:rPr>
                <w:sz w:val="17"/>
              </w:rPr>
              <w:t xml:space="preserve">) e foi </w:t>
            </w:r>
            <w:r>
              <w:rPr>
                <w:b/>
                <w:sz w:val="17"/>
              </w:rPr>
              <w:t>aprovado pelo Tech Lead Cézar Velazquez na conta própria dele no Azure DevOps (vote 10)</w:t>
            </w:r>
            <w:r>
              <w:rPr>
                <w:sz w:val="17"/>
              </w:rPr>
              <w:t>, aguardando merge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A-10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Histórico de fluxo dos cards no Jira transitando pelas colunas em tempo real desde a S1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Status dos cards das sprints </w:t>
            </w:r>
            <w:r>
              <w:rPr>
                <w:b/>
                <w:sz w:val="17"/>
              </w:rPr>
              <w:t>S1–S8 registrado de forma consolidada</w:t>
            </w:r>
            <w:r>
              <w:rPr>
                <w:sz w:val="17"/>
              </w:rPr>
              <w:t xml:space="preserve"> (transições em 13–15/06); a </w:t>
            </w:r>
            <w:r>
              <w:rPr>
                <w:b/>
                <w:sz w:val="17"/>
              </w:rPr>
              <w:t>Sprint 9 transita pelas colunas em tempo real</w:t>
            </w:r>
            <w:r>
              <w:rPr>
                <w:sz w:val="17"/>
              </w:rPr>
              <w:t xml:space="preserve"> (To Do → Doing → Code Review → To Test → Done)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Mesma causa-raiz de A-02 (tooling Azure/Jira montado retroativamente). O </w:t>
            </w:r>
            <w:r>
              <w:rPr>
                <w:b/>
                <w:sz w:val="17"/>
              </w:rPr>
              <w:t>desenvolvimento em si — os commits — seguiu a linha do tempo real das sprints</w:t>
            </w:r>
            <w:r>
              <w:rPr>
                <w:sz w:val="17"/>
              </w:rPr>
              <w:t xml:space="preserve"> (fev–jun), assim como as </w:t>
            </w:r>
            <w:r>
              <w:rPr>
                <w:b/>
                <w:sz w:val="17"/>
              </w:rPr>
              <w:t>tags v0.1.0–v0.9.0</w:t>
            </w:r>
            <w:r>
              <w:rPr>
                <w:sz w:val="17"/>
              </w:rPr>
              <w:t xml:space="preserve"> (criadas no fim de cada sprint). A evidência de teste e aprovação </w:t>
            </w:r>
            <w:r>
              <w:rPr>
                <w:b/>
                <w:sz w:val="17"/>
              </w:rPr>
              <w:t>por card</w:t>
            </w:r>
            <w:r>
              <w:rPr>
                <w:sz w:val="17"/>
              </w:rPr>
              <w:t xml:space="preserve"> é registrada no </w:t>
            </w:r>
            <w:r>
              <w:rPr>
                <w:b/>
                <w:sz w:val="17"/>
              </w:rPr>
              <w:t>CTQ-MILHASFACIL01-001</w:t>
            </w:r>
            <w:r>
              <w:rPr>
                <w:sz w:val="17"/>
              </w:rPr>
              <w:t xml:space="preserve"> (cenário Gherkin + critério + resultado + aprovador), independentemente do carimbo das transições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Itens sem adaptação (processo-padrão mantido)</w:t>
      </w:r>
    </w:p>
    <w:p>
      <w:pPr>
        <w:pStyle w:val="ListBullet"/>
      </w:pPr>
      <w:r>
        <w:t>Controle de versão de código no Azure DevOps (Git), com branch padrão main nos três repositórios.</w:t>
      </w:r>
    </w:p>
    <w:p>
      <w:pPr>
        <w:pStyle w:val="ListBullet"/>
      </w:pPr>
      <w:r>
        <w:t>PR obrigatório para develop antes do merge, com aprovação do Tech Lead (Cézar Velazquez).</w:t>
      </w:r>
    </w:p>
    <w:p>
      <w:pPr>
        <w:pStyle w:val="ListBullet"/>
      </w:pPr>
      <w:r>
        <w:t>Execução de testes (JUnit5+Mockito+AssertJ, SpringBootTest+Testcontainers, Karma, pytest) como gate no pipeline de CI.</w:t>
      </w:r>
    </w:p>
    <w:p>
      <w:pPr>
        <w:pStyle w:val="ListBullet"/>
      </w:pPr>
      <w:r>
        <w:t>Registro de riscos com probabilidade, impacto, exposição e plano de resposta.</w:t>
      </w:r>
    </w:p>
    <w:p>
      <w:pPr>
        <w:pStyle w:val="ListBullet"/>
      </w:pPr>
      <w:r>
        <w:t>Rastreabilidade de requisitos (RF → Jira → branch → PR → build).</w:t>
      </w:r>
    </w:p>
    <w:p>
      <w:pPr>
        <w:pStyle w:val="ListBullet"/>
      </w:pPr>
      <w:r>
        <w:t xml:space="preserve">Nomenclatura de branches </w:t>
      </w:r>
      <w:r>
        <w:rPr>
          <w:rFonts w:ascii="Consolas" w:hAnsi="Consolas"/>
          <w:color w:val="444444"/>
          <w:sz w:val="18"/>
        </w:rPr>
        <w:t>feat/</w:t>
      </w:r>
      <w:r>
        <w:t>|</w:t>
      </w:r>
      <w:r>
        <w:rPr>
          <w:rFonts w:ascii="Consolas" w:hAnsi="Consolas"/>
          <w:color w:val="444444"/>
          <w:sz w:val="18"/>
        </w:rPr>
        <w:t>fix/</w:t>
      </w:r>
      <w:r>
        <w:t xml:space="preserve"> + </w:t>
      </w:r>
      <w:r>
        <w:rPr>
          <w:rFonts w:ascii="Consolas" w:hAnsi="Consolas"/>
          <w:color w:val="444444"/>
          <w:sz w:val="18"/>
        </w:rPr>
        <w:t>MF-XX</w:t>
      </w:r>
      <w:r>
        <w:t xml:space="preserve"> (política de branch — RNF04).</w:t>
      </w:r>
    </w:p>
    <w:p>
      <w:pPr>
        <w:pStyle w:val="ListBullet"/>
      </w:pPr>
      <w:r>
        <w:t>Formalização de mudanças de escopo via change request antes da implementação (CR-MF-001).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Impacto das adaptações no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Adaptação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Impacto observado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A-01 (CI Windows / PowerShell@2)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Padronização das três pipelines; builds reais #41–#60 quase todos </w:t>
            </w:r>
            <w:r>
              <w:rPr>
                <w:rFonts w:ascii="Consolas" w:hAnsi="Consolas"/>
                <w:color w:val="444444"/>
                <w:sz w:val="17"/>
              </w:rPr>
              <w:t>succeeded</w:t>
            </w:r>
            <w:r>
              <w:rPr>
                <w:sz w:val="17"/>
              </w:rPr>
              <w:t xml:space="preserve"> (apenas #42 </w:t>
            </w:r>
            <w:r>
              <w:rPr>
                <w:rFonts w:ascii="Consolas" w:hAnsi="Consolas"/>
                <w:color w:val="444444"/>
                <w:sz w:val="17"/>
              </w:rPr>
              <w:t>canceled</w:t>
            </w:r>
            <w:r>
              <w:rPr>
                <w:sz w:val="17"/>
              </w:rPr>
              <w:t>). Risco R-05 mantido sob controle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A-02 (histórico consolidado)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22 PRs históricos (S1–S8) sem revisor registrado, representados fielmente como integração retroativa (ressalva com causa-raiz), sem afirmar revisor onde não há; a partir da S9, 6 PRs com revisor Cézar Velazquez (TL; conta legada </w:t>
            </w:r>
            <w:r>
              <w:rPr>
                <w:rFonts w:ascii="Consolas" w:hAnsi="Consolas"/>
                <w:color w:val="444444"/>
                <w:sz w:val="17"/>
              </w:rPr>
              <w:t>Mateus Veloso</w:t>
            </w:r>
            <w:r>
              <w:rPr>
                <w:sz w:val="17"/>
              </w:rPr>
              <w:t>, Approved) e branch policy de revisor ativa em develop (saneamento prospectivo). Meta "PRs sem revisor = 0" cumprida pelos 6 PRs da S9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A-03 (gate de cobertura na S4)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Cobertura JaCoCo elevada de 74% (S2) para 82% (S5); NC-001 encerrada; meta de ≥80% atendida a partir da S4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A-05 (aeroportos em código → ILIKE)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Deploy simplificado nas primeiras sprints; na S9, busca de aeroportos migrada para consulta paginada (ILIKE + </w:t>
            </w:r>
            <w:r>
              <w:rPr>
                <w:rFonts w:ascii="Consolas" w:hAnsi="Consolas"/>
                <w:color w:val="444444"/>
                <w:sz w:val="17"/>
              </w:rPr>
              <w:t>unaccent</w:t>
            </w:r>
            <w:r>
              <w:rPr>
                <w:sz w:val="17"/>
              </w:rPr>
              <w:t>) com índice V9, released em main na v0.9.0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A-08 / A-09 (saneamento de BD e branch)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Branch policy de revisor ativada em develop (saneamento da política de branch); padronização de nomenclatura de BD em curso via PR #29 (MF-73), migration V10 aprovada pelo Tech Lead Cézar Velazquez (conta própria, vote 10), aguardando merge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Processos não aplicáveis ao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Processo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Aplicável?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Justificativa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Aquisição (AQU)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Não aplicável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Squad próprio Timeware; não há subcontratação de terceiro responsável por entrega. Os serviços externos (Z-API, portais das companhias raspados pelo crawler) são insumos/integrações, tratados em ITP e Riscos, fora do escopo de AQU.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