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Medição — MilhasFacil · Hub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MED-MILHASFACIL01-001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MED (evidência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Objetivo</w:t>
      </w:r>
    </w:p>
    <w:p>
      <w:r>
        <w:t>Registrar as medidas coletadas ao longo do projeto MilhasFacil, conforme o Plano de Medição Organizacional, de modo a apoiar a análise de produtividade (velocity), qualidade do produto (cobertura de código e defeitos) e conformidade de processo (não conformidades e pull requests). As medidas abrangem o ciclo das sprints S1 a S9, sendo S1–S8 encerradas e S9 em andamento (01–14/06/2026). O projeto encontra-se ABERTO (S9 de 12 sprints planejadas; término previsto 26/07/2026).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Objetivos de medição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Meta organizacional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Acompanhar a produtividade da equipe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Velocity (SP entregues por sprint)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Jira (board 614) / planilha de gestão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≥ 30 SP por sprint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Garantir a qualidade interna do código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de testes (JaCoCo · Karma · pytest)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Relatórios de CI por repositório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≥ 80% (gate CI a partir da S4)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Controlar defeitos do produto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Bugs registrados por sprint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Jira (type Bug)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Tendência decrescente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Assegurar conformidade de processo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Não conformidades (NCs) abertas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Auditorias GQA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 NC ao fim do ciclo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Assegurar rastreabilidade da integração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Pull requests sem revisor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0 PR sem revisor</w:t>
            </w:r>
          </w:p>
        </w:tc>
      </w:tr>
    </w:tbl>
    <w:p>
      <w:r>
        <w:rPr>
          <w:b/>
          <w:color w:val="2E5CAA"/>
          <w:sz w:val="23"/>
        </w:rPr>
        <w:t>2.1 Correspondência com o catálogo organizacional de medidas (PLA-MED-001)</w:t>
      </w:r>
    </w:p>
    <w:p>
      <w:r>
        <w:t>As medidas coletadas no projeto são mapeadas ao catálogo organizacional M1–M7 do Plano de Medição (PLA-MED-001):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Medida org.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Definição (PLA-MED-001)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Apuração no projeto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 / situação (S1–S8)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M1</w:t>
            </w:r>
            <w:r>
              <w:rPr>
                <w:sz w:val="17"/>
              </w:rPr>
              <w:t xml:space="preserve"> — Aderência ao prazo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(prazo real − prazo planejado) / prazo planejado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Sprints entregues nas datas planejadas; macro sem atraso (CR-MF-001 = 0 dia)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Dentro do esperado (0 desvio de prazo macro)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M2</w:t>
            </w:r>
            <w:r>
              <w:rPr>
                <w:sz w:val="17"/>
              </w:rPr>
              <w:t xml:space="preserve"> — Esforço estimado × realizado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esforço real / esforço estimado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Horas reais / horas estimadas (§4.1)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666 h / 614 h = </w:t>
            </w:r>
            <w:r>
              <w:rPr>
                <w:b/>
                <w:sz w:val="17"/>
              </w:rPr>
              <w:t>1,083 (+8,3%)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M3</w:t>
            </w:r>
            <w:r>
              <w:rPr>
                <w:sz w:val="17"/>
              </w:rPr>
              <w:t xml:space="preserve"> — Velocity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pontos concluídos por sprint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Story points por sprint (§3)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Média </w:t>
            </w:r>
            <w:r>
              <w:rPr>
                <w:b/>
                <w:sz w:val="17"/>
              </w:rPr>
              <w:t>33,9 SP/sprint</w:t>
            </w:r>
            <w:r>
              <w:rPr>
                <w:sz w:val="17"/>
              </w:rPr>
              <w:t xml:space="preserve"> (meta ≥ 30)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M4</w:t>
            </w:r>
            <w:r>
              <w:rPr>
                <w:sz w:val="17"/>
              </w:rPr>
              <w:t xml:space="preserve"> — Itens entregues × planejados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itens concluídos / planejados na sprint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Aderência de SP por sprint (§4) e cards concluídos/planejados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81%–94% por sprint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M5</w:t>
            </w:r>
            <w:r>
              <w:rPr>
                <w:sz w:val="17"/>
              </w:rPr>
              <w:t xml:space="preserve"> — Densidade de defeitos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defeitos por sprint/entrega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Bugs (type Bug) por sprint (§3)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0–3 por sprint; sem acúmulo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M6</w:t>
            </w:r>
            <w:r>
              <w:rPr>
                <w:sz w:val="17"/>
              </w:rPr>
              <w:t xml:space="preserve"> — Defeitos homologação × produção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defeitos em homologação vs. escapados para produção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Acompanhado a partir da promoção a produção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 defeito em produção</w:t>
            </w:r>
            <w:r>
              <w:rPr>
                <w:sz w:val="17"/>
              </w:rPr>
              <w:t xml:space="preserve"> (release de produção pendente; ciclo em homologação/develop)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M7</w:t>
            </w:r>
            <w:r>
              <w:rPr>
                <w:sz w:val="17"/>
              </w:rPr>
              <w:t xml:space="preserve"> — Retrabalho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itens reabertos / total de itens concluídos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Bugs vinculados a histórias/tarefas no Jira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Baixo — correções na própria sprint (MF-58/MF-59 na S8), sem reabertura relevante</w:t>
            </w:r>
          </w:p>
        </w:tc>
      </w:tr>
    </w:tbl>
    <w:p>
      <w:r>
        <w:rPr>
          <w:i/>
          <w:color w:val="444444"/>
        </w:rPr>
        <w:t xml:space="preserve">Medidas adicionais específicas do projeto (não pertencentes ao catálogo M1–M7): </w:t>
      </w:r>
      <w:r>
        <w:rPr>
          <w:b/>
          <w:i/>
          <w:color w:val="444444"/>
        </w:rPr>
        <w:t>cobertura de testes</w:t>
      </w:r>
      <w:r>
        <w:rPr>
          <w:i/>
          <w:color w:val="444444"/>
        </w:rPr>
        <w:t xml:space="preserve"> (JaCoCo/Karma/pytest, gate de CI ≥ 80%), </w:t>
      </w:r>
      <w:r>
        <w:rPr>
          <w:b/>
          <w:i/>
          <w:color w:val="444444"/>
        </w:rPr>
        <w:t>não conformidades de GQA</w:t>
      </w:r>
      <w:r>
        <w:rPr>
          <w:i/>
          <w:color w:val="444444"/>
        </w:rPr>
        <w:t xml:space="preserve"> e </w:t>
      </w:r>
      <w:r>
        <w:rPr>
          <w:b/>
          <w:i/>
          <w:color w:val="444444"/>
        </w:rPr>
        <w:t>PRs sem revisor</w:t>
      </w:r>
      <w:r>
        <w:rPr>
          <w:i/>
          <w:color w:val="444444"/>
        </w:rPr>
        <w:t xml:space="preserve"> — usadas como indicadores de qualidade interna e de conformidade de processo. O *burndown* da sprint é ferramenta de acompanhamento diário e não constitui medida organizacional consolidada (PLA-MED-001 §3).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Indicadores por sprint (S1–S8)</w:t>
      </w:r>
    </w:p>
    <w:p>
      <w:r>
        <w:t>Indicadores de qualidade e produtividade coletados nas sprints encerradas. A cobertura é reportada pelos três motores de teste (JaCoCo na API, Karma na Web, pytest no Crawler).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Velocity (SP)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JaCoCo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Karma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pytest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Bugs</w:t>
            </w:r>
          </w:p>
        </w:tc>
        <w:tc>
          <w:tcPr>
            <w:tcW w:type="dxa" w:w="1218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NCs</w:t>
            </w:r>
          </w:p>
        </w:tc>
      </w:tr>
      <w:tr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09–22/02/2026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78%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76%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80%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23/02–08/03/2026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74%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72%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 (NC-001 aberta)</w:t>
            </w:r>
          </w:p>
        </w:tc>
      </w:tr>
      <w:tr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S3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09–22/03/2026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34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76%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75%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79%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  <w:tr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23/03–05/04/2026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80%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  <w:tr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06–19/04/2026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82%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80%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82%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 (NC-001 encerrada)</w:t>
            </w:r>
          </w:p>
        </w:tc>
      </w:tr>
      <w:tr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20/04–03/05/2026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84%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04–17/05/2026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85%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84%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18–31/05/2026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48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84%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218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>
      <w:r>
        <w:rPr>
          <w:b/>
          <w:i/>
          <w:color w:val="444444"/>
        </w:rPr>
        <w:t>Metas:</w:t>
      </w:r>
      <w:r>
        <w:rPr>
          <w:i/>
          <w:color w:val="444444"/>
        </w:rPr>
        <w:t xml:space="preserve"> Velocity ≥ 30; Cobertura ≥ 80% (atingida de forma sustentada a partir da S4); NCs = 0; PRs sem revisor = 0.</w:t>
      </w:r>
    </w:p>
    <w:p>
      <w:pPr>
        <w:jc w:val="center"/>
      </w:pPr>
      <w:r>
        <w:rPr>
          <w:i/>
          <w:color w:val="2E5CAA"/>
          <w:sz w:val="17"/>
        </w:rPr>
        <w:t>[ IMG-CI-03 — relatório de cobertura de código ]</w:t>
      </w:r>
    </w:p>
    <w:p>
      <w:pPr>
        <w:jc w:val="center"/>
      </w:pPr>
      <w:r>
        <w:rPr>
          <w:i/>
          <w:color w:val="444444"/>
          <w:sz w:val="16"/>
        </w:rPr>
        <w:t>Evidência (a anexar): evidencias/IMG-CI-03_relatorio-cobertura.png</w:t>
      </w:r>
    </w:p>
    <w:p>
      <w:r>
        <w:t>*Figura — Relatório de cobertura de código (JaCoCo na API, com gate de 80% a partir da S4).*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Acompanhamento de Story Points e horas (S1–S9)</w:t>
      </w:r>
    </w:p>
    <w:p>
      <w:r>
        <w:t>Acompanhamento de planejamento vs. realizado por sprint, conforme a planilha de gestão. A sprint S9 está em andamento (WIP — work in progress), com apenas o planejamento consolidado.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 plan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 real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Aderência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Carry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Horas est.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Horas reais</w:t>
            </w:r>
          </w:p>
        </w:tc>
        <w:tc>
          <w:tcPr>
            <w:tcW w:type="dxa" w:w="108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Desvio</w:t>
            </w:r>
          </w:p>
        </w:tc>
      </w:tr>
      <w:tr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09–22/02/2026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23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87%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+12%</w:t>
            </w:r>
          </w:p>
        </w:tc>
      </w:tr>
      <w:tr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23/02–08/03/2026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88%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+10%</w:t>
            </w:r>
          </w:p>
        </w:tc>
      </w:tr>
      <w:tr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S3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09–22/03/2026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38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34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89%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+8%</w:t>
            </w:r>
          </w:p>
        </w:tc>
      </w:tr>
      <w:tr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23/03–05/04/2026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91%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93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+6%</w:t>
            </w:r>
          </w:p>
        </w:tc>
      </w:tr>
      <w:tr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06–19/04/2026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94%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+5%</w:t>
            </w:r>
          </w:p>
        </w:tc>
      </w:tr>
      <w:tr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20/04–03/05/2026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91%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72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+9%</w:t>
            </w:r>
          </w:p>
        </w:tc>
      </w:tr>
      <w:tr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04–17/05/2026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37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70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+9%</w:t>
            </w:r>
          </w:p>
        </w:tc>
      </w:tr>
      <w:tr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18–31/05/2026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58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48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112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124</w:t>
            </w:r>
          </w:p>
        </w:tc>
        <w:tc>
          <w:tcPr>
            <w:tcW w:type="dxa" w:w="108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+11%</w:t>
            </w:r>
          </w:p>
        </w:tc>
      </w:tr>
      <w:tr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01–14/06/2026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69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138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1083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</w:tr>
    </w:tbl>
    <w:p>
      <w:r>
        <w:rPr>
          <w:b/>
          <w:color w:val="2E5CAA"/>
          <w:sz w:val="23"/>
        </w:rPr>
        <w:t>4.1 Totais consolidados (S1–S8)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Story Points planejados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309 SP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Story Points realizados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271 SP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Carry acumulado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38 SP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Horas estimadas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614 h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Horas reais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666 h (+8,3%)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Velocity média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33,9 SP/sprint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Análise dos resultados</w:t>
      </w:r>
    </w:p>
    <w:p>
      <w:r>
        <w:rPr>
          <w:b/>
          <w:color w:val="2E5CAA"/>
          <w:sz w:val="23"/>
        </w:rPr>
        <w:t>5.1 Produtividade (velocity)</w:t>
      </w:r>
    </w:p>
    <w:p>
      <w:r>
        <w:t>A velocity média de S1–S8 (33,9 SP/sprint) supera a meta organizacional de 30 SP/sprint. Após a sprint inicial de ramp-up (S1 = 20 SP), a equipe estabilizou acima de 30 SP, com pico de 48 SP na S8, sprint de maior planejamento (58 SP plan). A aderência de SP variou de 81% a 94%, com carry controlado (máximo de 10 SP na S8). A S9 está planejada em 69 SP — o maior planejamento do projeto — refletindo a antecipação dos filtros avançados (CR-MF-001, de S10 para S9).</w:t>
      </w:r>
    </w:p>
    <w:p>
      <w:r>
        <w:rPr>
          <w:b/>
          <w:color w:val="2E5CAA"/>
          <w:sz w:val="23"/>
        </w:rPr>
        <w:t>5.2 Qualidade interna (cobertura)</w:t>
      </w:r>
    </w:p>
    <w:p>
      <w:r>
        <w:t>A cobertura de código atingiu e manteve o patamar de 80% a partir da S4, com tendência de alta sustentada nos três motores (JaCoCo, Karma e pytest). A NC-001, aberta na S2 por cobertura abaixo de 80% (JaCoCo 74%), foi tratada com priorização de testes unitários e introdução do gate de CI a partir da S4, sendo encerrada na S5 (JaCoCo 82%). A partir da S5 não houve novas NCs.</w:t>
      </w:r>
    </w:p>
    <w:p>
      <w:r>
        <w:rPr>
          <w:b/>
          <w:color w:val="2E5CAA"/>
          <w:sz w:val="23"/>
        </w:rPr>
        <w:t>5.3 Defeitos</w:t>
      </w:r>
    </w:p>
    <w:p>
      <w:r>
        <w:t>Foram registrados poucos bugs por sprint (máximo de 3 na S5), sem acúmulo entre sprints. Os bugs de maior impacto relacionaram-se a regressões de parser do Crawler (MF-58 e MF-59 na S8), corrigidos na própria sprint e validados por testes de regressão.</w:t>
      </w:r>
    </w:p>
    <w:p>
      <w:r>
        <w:rPr>
          <w:b/>
          <w:color w:val="2E5CAA"/>
          <w:sz w:val="23"/>
        </w:rPr>
        <w:t>5.4 Conformidade de processo</w:t>
      </w:r>
    </w:p>
    <w:p>
      <w:r>
        <w:t xml:space="preserve">A partir da S5 o projeto manteve NCs = 0. Quanto ao indicador "PRs sem revisor", a meta organizacional de 0 é cumprida pelos 6 PRs da S9 (#11/#12/#28/#21/#22/#27), concluídos com revisor Mateus Veloso — Approved (vote 10) — conta legada correspondente ao Tech Lead Cézar Velazquez — e mergeados em </w:t>
      </w:r>
      <w:r>
        <w:rPr>
          <w:rFonts w:ascii="Consolas" w:hAnsi="Consolas"/>
          <w:color w:val="444444"/>
          <w:sz w:val="18"/>
        </w:rPr>
        <w:t>develop</w:t>
      </w:r>
      <w:r>
        <w:t xml:space="preserve">, e pelo PR #29 ativo (MF-73, padronização de nomenclatura de BD), aprovado pelo Cézar Velazquez (conta própria no Azure, vote 10) e aguardando merge. A meta é reforçada de forma prospectiva pela branch policy de revisor ativada em </w:t>
      </w:r>
      <w:r>
        <w:rPr>
          <w:rFonts w:ascii="Consolas" w:hAnsi="Consolas"/>
          <w:color w:val="444444"/>
          <w:sz w:val="18"/>
        </w:rPr>
        <w:t>develop</w:t>
      </w:r>
      <w:r>
        <w:t xml:space="preserve"> nos três repositórios (15/06/2026). Os 22 PRs históricos S1–S8 foram integrados retroativamente sem revisor registrado e permanecem como ressalva imutável (PR concluído é travado), com causa-raiz na inicialização retroativa do histórico. Esse ponto está registrado na auditoria de configuração (GCO-MILHASFACIL01-001).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Metas organizacionais e situação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Meta organizacional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 no ciclo S1–S8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Velocity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≥ 30 SP/sprint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Atingida — média 33,9 SP/sprint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de código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≥ 80%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Atingida de forma sustentada a partir da S4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Não conformidades (NCs)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Atingida a partir da S5 (NC-001 encerrada)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Bugs por sprint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Tendência decrescente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Sob controle — sem acúmulo entre sprints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PRs sem revisor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Atingida com ressalva — cumprida pelos 6 PRs da S9 (com revisor Mateus Veloso = Cézar Velazquez, Approved 10) e pelo PR #29 ativo (MF-73, aprovado por Cézar Velazquez na conta própria, vote 10), reforçada pela branch policy de revisor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; 22 PRs históricos S1–S8 permanecem como ressalva imutável (integração retroativa)</w:t>
            </w:r>
          </w:p>
        </w:tc>
      </w:tr>
    </w:tbl>
    <w:p>
      <w:r>
        <w:rPr>
          <w:b/>
          <w:color w:val="2E5CAA"/>
          <w:sz w:val="23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IMG-CI-03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Relatório de cobertura de código (JaCoCo na API com gate de 80% a partir da S4; Karma na Web; pytest no Crawler)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Pipelines / relatórios de cobertura por repositório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