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Bdr>
          <w:top w:val="single" w:sz="32" w:space="0" w:color="003366"/>
        </w:pBdr>
        <w:spacing w:before="0" w:after="0"/>
      </w:pPr>
    </w:p>
    <w:p>
      <w:pPr>
        <w:spacing w:before="240" w:after="40"/>
      </w:pPr>
      <w:r>
        <w:rPr>
          <w:rFonts w:ascii="Calibri" w:hAnsi="Calibri"/>
          <w:b/>
          <w:color w:val="003366"/>
          <w:sz w:val="36"/>
        </w:rPr>
        <w:t>CONVENÇÃO DE NOMENCLATURA E VERSIONAMENTO DE DOCUMENTOS</w:t>
      </w:r>
    </w:p>
    <w:p>
      <w:pPr>
        <w:spacing w:before="0" w:after="40"/>
      </w:pPr>
      <w:r>
        <w:rPr>
          <w:rFonts w:ascii="Calibri" w:hAnsi="Calibri"/>
          <w:color w:val="555555"/>
          <w:sz w:val="20"/>
        </w:rPr>
        <w:t>CONV-ORG-001   ·   Versão 1.2   ·   19/05/2026   ·   Timeware Brasil</w:t>
      </w:r>
    </w:p>
    <w:p>
      <w:pPr>
        <w:pBdr>
          <w:bottom w:val="single" w:sz="6" w:space="1" w:color="003366"/>
        </w:pBdr>
        <w:spacing w:before="120" w:after="280"/>
      </w:pPr>
    </w:p>
    <w:tbl>
      <w:tblPr>
        <w:tblW w:type="auto" w:w="0"/>
        <w:tblLook w:firstColumn="1" w:firstRow="1" w:lastColumn="0" w:lastRow="0" w:noHBand="0" w:noVBand="1" w:val="04A0"/>
        <w:tblBorders>
          <w:top w:val="single" w:sz="4" w:space="0" w:color="AAAAAA"/>
          <w:left w:val="single" w:sz="4" w:space="0" w:color="AAAAAA"/>
          <w:bottom w:val="single" w:sz="4" w:space="0" w:color="AAAAAA"/>
          <w:right w:val="single" w:sz="4" w:space="0" w:color="AAAAAA"/>
          <w:insideH w:val="single" w:sz="4" w:space="0" w:color="AAAAAA"/>
          <w:insideV w:val="single" w:sz="4" w:space="0" w:color="AAAAAA"/>
        </w:tblBorders>
      </w:tblPr>
      <w:tblGrid>
        <w:gridCol w:w="4451"/>
        <w:gridCol w:w="4451"/>
      </w:tblGrid>
      <w:tr>
        <w:trPr>
          <w:cantSplit w:val="1"/>
        </w:trPr>
        <w:tc>
          <w:tcPr>
            <w:tcW w:type="dxa" w:w="4451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D6E4F0"/>
          </w:tcPr>
          <w:p>
            <w:pPr>
              <w:spacing w:before="40" w:after="40"/>
            </w:pPr>
            <w:r>
              <w:rPr>
                <w:rFonts w:ascii="Calibri" w:hAnsi="Calibri"/>
                <w:b/>
                <w:i w:val="0"/>
                <w:sz w:val="20"/>
              </w:rPr>
              <w:t>Campo</w:t>
            </w:r>
          </w:p>
        </w:tc>
        <w:tc>
          <w:tcPr>
            <w:tcW w:type="dxa" w:w="4451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D6E4F0"/>
          </w:tcPr>
          <w:p>
            <w:pPr>
              <w:spacing w:before="40" w:after="40"/>
            </w:pPr>
            <w:r>
              <w:rPr>
                <w:rFonts w:ascii="Calibri" w:hAnsi="Calibri"/>
                <w:b/>
                <w:i w:val="0"/>
                <w:sz w:val="20"/>
              </w:rPr>
              <w:t>Valor</w:t>
            </w:r>
          </w:p>
        </w:tc>
      </w:tr>
      <w:tr>
        <w:trPr>
          <w:cantSplit w:val="1"/>
        </w:trPr>
        <w:tc>
          <w:tcPr>
            <w:tcW w:type="dxa" w:w="4451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F0F4F8"/>
          </w:tcPr>
          <w:p>
            <w:pPr>
              <w:spacing w:before="40" w:after="40"/>
            </w:pPr>
            <w:r>
              <w:rPr>
                <w:rFonts w:ascii="Calibri" w:hAnsi="Calibri"/>
                <w:b/>
                <w:i w:val="0"/>
                <w:sz w:val="20"/>
              </w:rPr>
              <w:t>Documento</w:t>
            </w:r>
          </w:p>
        </w:tc>
        <w:tc>
          <w:tcPr>
            <w:tcW w:type="dxa" w:w="4451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CONV-ORG-001 — Convenção de Nomenclatura e Versionamento</w:t>
            </w:r>
          </w:p>
        </w:tc>
      </w:tr>
      <w:tr>
        <w:trPr>
          <w:cantSplit w:val="1"/>
        </w:trPr>
        <w:tc>
          <w:tcPr>
            <w:tcW w:type="dxa" w:w="4451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F0F4F8"/>
          </w:tcPr>
          <w:p>
            <w:pPr>
              <w:spacing w:before="40" w:after="40"/>
            </w:pPr>
            <w:r>
              <w:rPr>
                <w:rFonts w:ascii="Calibri" w:hAnsi="Calibri"/>
                <w:b/>
                <w:i w:val="0"/>
                <w:sz w:val="20"/>
              </w:rPr>
              <w:t>Versão</w:t>
            </w:r>
          </w:p>
        </w:tc>
        <w:tc>
          <w:tcPr>
            <w:tcW w:type="dxa" w:w="4451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1.2</w:t>
            </w:r>
          </w:p>
        </w:tc>
      </w:tr>
      <w:tr>
        <w:trPr>
          <w:cantSplit w:val="1"/>
        </w:trPr>
        <w:tc>
          <w:tcPr>
            <w:tcW w:type="dxa" w:w="4451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F0F4F8"/>
          </w:tcPr>
          <w:p>
            <w:pPr>
              <w:spacing w:before="40" w:after="40"/>
            </w:pPr>
            <w:r>
              <w:rPr>
                <w:rFonts w:ascii="Calibri" w:hAnsi="Calibri"/>
                <w:b/>
                <w:i w:val="0"/>
                <w:sz w:val="20"/>
              </w:rPr>
              <w:t>Data</w:t>
            </w:r>
          </w:p>
        </w:tc>
        <w:tc>
          <w:tcPr>
            <w:tcW w:type="dxa" w:w="4451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19/05/2026</w:t>
            </w:r>
          </w:p>
        </w:tc>
      </w:tr>
      <w:tr>
        <w:trPr>
          <w:cantSplit w:val="1"/>
        </w:trPr>
        <w:tc>
          <w:tcPr>
            <w:tcW w:type="dxa" w:w="4451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F0F4F8"/>
          </w:tcPr>
          <w:p>
            <w:pPr>
              <w:spacing w:before="40" w:after="40"/>
            </w:pPr>
            <w:r>
              <w:rPr>
                <w:rFonts w:ascii="Calibri" w:hAnsi="Calibri"/>
                <w:b/>
                <w:i w:val="0"/>
                <w:sz w:val="20"/>
              </w:rPr>
              <w:t>Organização</w:t>
            </w:r>
          </w:p>
        </w:tc>
        <w:tc>
          <w:tcPr>
            <w:tcW w:type="dxa" w:w="4451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Timeware Brasil Softwares e Serviços LTDA</w:t>
            </w:r>
          </w:p>
        </w:tc>
      </w:tr>
      <w:tr>
        <w:trPr>
          <w:cantSplit w:val="1"/>
        </w:trPr>
        <w:tc>
          <w:tcPr>
            <w:tcW w:type="dxa" w:w="4451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F0F4F8"/>
          </w:tcPr>
          <w:p>
            <w:pPr>
              <w:spacing w:before="40" w:after="40"/>
            </w:pPr>
            <w:r>
              <w:rPr>
                <w:rFonts w:ascii="Calibri" w:hAnsi="Calibri"/>
                <w:b/>
                <w:i w:val="0"/>
                <w:sz w:val="20"/>
              </w:rPr>
              <w:t>Aprovação</w:t>
            </w:r>
          </w:p>
        </w:tc>
        <w:tc>
          <w:tcPr>
            <w:tcW w:type="dxa" w:w="4451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Time de Melhoria Contínua</w:t>
            </w:r>
          </w:p>
        </w:tc>
      </w:tr>
      <w:tr>
        <w:trPr>
          <w:cantSplit w:val="1"/>
        </w:trPr>
        <w:tc>
          <w:tcPr>
            <w:tcW w:type="dxa" w:w="4451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F0F4F8"/>
          </w:tcPr>
          <w:p>
            <w:pPr>
              <w:spacing w:before="40" w:after="40"/>
            </w:pPr>
            <w:r>
              <w:rPr>
                <w:rFonts w:ascii="Calibri" w:hAnsi="Calibri"/>
                <w:b/>
                <w:i w:val="0"/>
                <w:sz w:val="20"/>
              </w:rPr>
              <w:t>Responsável</w:t>
            </w:r>
          </w:p>
        </w:tc>
        <w:tc>
          <w:tcPr>
            <w:tcW w:type="dxa" w:w="4451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Silvio Baroni</w:t>
            </w:r>
          </w:p>
        </w:tc>
      </w:tr>
      <w:tr>
        <w:trPr>
          <w:cantSplit w:val="1"/>
        </w:trPr>
        <w:tc>
          <w:tcPr>
            <w:tcW w:type="dxa" w:w="4451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F0F4F8"/>
          </w:tcPr>
          <w:p>
            <w:pPr>
              <w:spacing w:before="40" w:after="40"/>
            </w:pPr>
            <w:r>
              <w:rPr>
                <w:rFonts w:ascii="Calibri" w:hAnsi="Calibri"/>
                <w:b/>
                <w:i w:val="0"/>
                <w:sz w:val="20"/>
              </w:rPr>
              <w:t>Nota de auditoria</w:t>
            </w:r>
          </w:p>
        </w:tc>
        <w:tc>
          <w:tcPr>
            <w:tcW w:type="dxa" w:w="4451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Para a correspondência deste documento com o modelo de referência, ver a seção final "Rastreabilidade e instrução para auditoria".</w:t>
            </w:r>
          </w:p>
        </w:tc>
      </w:tr>
      <w:tr>
        <w:trPr>
          <w:cantSplit w:val="1"/>
        </w:trPr>
        <w:tc>
          <w:tcPr>
            <w:tcW w:type="dxa" w:w="4451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F0F4F8"/>
          </w:tcPr>
          <w:p>
            <w:pPr>
              <w:spacing w:before="40" w:after="40"/>
            </w:pPr>
            <w:r>
              <w:rPr>
                <w:rFonts w:ascii="Calibri" w:hAnsi="Calibri"/>
                <w:b/>
                <w:i w:val="0"/>
                <w:sz w:val="20"/>
              </w:rPr>
              <w:t>Classificação</w:t>
            </w:r>
          </w:p>
        </w:tc>
        <w:tc>
          <w:tcPr>
            <w:tcW w:type="dxa" w:w="4451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Ativo de processo organizacional</w:t>
            </w:r>
          </w:p>
        </w:tc>
      </w:tr>
    </w:tbl>
    <w:p>
      <w:pPr>
        <w:spacing w:before="0" w:after="160"/>
      </w:pPr>
    </w:p>
    <w:p>
      <w:pPr>
        <w:pStyle w:val="Heading1"/>
        <w:keepNext/>
        <w:keepLines/>
        <w:pBdr>
          <w:bottom w:val="single" w:sz="4" w:space="2" w:color="D6E4F0"/>
        </w:pBdr>
      </w:pPr>
      <w:r>
        <w:t>1. Propósito</w:t>
      </w:r>
    </w:p>
    <w:p>
      <w:pPr>
        <w:spacing w:before="0" w:after="120"/>
      </w:pPr>
      <w:r>
        <w:rPr>
          <w:rFonts w:ascii="Calibri" w:hAnsi="Calibri"/>
          <w:b w:val="0"/>
          <w:i w:val="0"/>
          <w:sz w:val="22"/>
        </w:rPr>
        <w:t>Esta convenção define como os documentos e ativos de processo da Timeware são identificados, nomeados e versionados. O objetivo é garantir que todo item tenha identificação única e rastreável, que sua versão e situação sejam sempre conhecidas, e que a organização mantenha controle sobre seus ativos de processo.</w:t>
      </w:r>
    </w:p>
    <w:p>
      <w:pPr>
        <w:spacing w:before="0" w:after="120"/>
      </w:pPr>
      <w:r>
        <w:rPr>
          <w:rFonts w:ascii="Calibri" w:hAnsi="Calibri"/>
          <w:b w:val="0"/>
          <w:i w:val="0"/>
          <w:sz w:val="22"/>
        </w:rPr>
        <w:t xml:space="preserve">Os documentos da Timeware são tratados como </w:t>
      </w:r>
      <w:r>
        <w:rPr>
          <w:rFonts w:ascii="Calibri" w:hAnsi="Calibri"/>
          <w:b/>
          <w:i w:val="0"/>
          <w:sz w:val="22"/>
        </w:rPr>
        <w:t>itens de configuração</w:t>
      </w:r>
      <w:r>
        <w:rPr>
          <w:rFonts w:ascii="Calibri" w:hAnsi="Calibri"/>
          <w:b w:val="0"/>
          <w:i w:val="0"/>
          <w:sz w:val="22"/>
        </w:rPr>
        <w:t>: cada um possui um código único, um tipo, uma descrição e uma situação controlada.</w:t>
      </w:r>
    </w:p>
    <w:p>
      <w:pPr>
        <w:pStyle w:val="Heading1"/>
        <w:keepNext/>
        <w:keepLines/>
        <w:pBdr>
          <w:bottom w:val="single" w:sz="4" w:space="2" w:color="D6E4F0"/>
        </w:pBdr>
      </w:pPr>
      <w:r>
        <w:t>2. Código de identificação</w:t>
      </w:r>
    </w:p>
    <w:p>
      <w:pPr>
        <w:spacing w:before="0" w:after="120"/>
      </w:pPr>
      <w:r>
        <w:rPr>
          <w:rFonts w:ascii="Calibri" w:hAnsi="Calibri"/>
          <w:b w:val="0"/>
          <w:i w:val="0"/>
          <w:sz w:val="22"/>
        </w:rPr>
        <w:t>Todo documento recebe um código no formato:</w:t>
      </w:r>
    </w:p>
    <w:p>
      <w:pPr>
        <w:spacing w:before="0" w:after="120"/>
      </w:pPr>
      <w:r>
        <w:rPr>
          <w:rFonts w:ascii="Courier New" w:hAnsi="Courier New"/>
          <w:b w:val="0"/>
          <w:i w:val="0"/>
          <w:color w:val="333333"/>
          <w:sz w:val="20"/>
        </w:rPr>
        <w:t>`</w:t>
      </w:r>
    </w:p>
    <w:p>
      <w:pPr>
        <w:spacing w:before="0" w:after="120"/>
      </w:pPr>
      <w:r>
        <w:rPr>
          <w:rFonts w:ascii="Calibri" w:hAnsi="Calibri"/>
          <w:b w:val="0"/>
          <w:i w:val="0"/>
          <w:sz w:val="22"/>
        </w:rPr>
        <w:t>TIPO-PROCESSO-NÚMERO</w:t>
      </w:r>
    </w:p>
    <w:p>
      <w:pPr>
        <w:spacing w:before="0" w:after="120"/>
      </w:pPr>
      <w:r>
        <w:rPr>
          <w:rFonts w:ascii="Courier New" w:hAnsi="Courier New"/>
          <w:b w:val="0"/>
          <w:i w:val="0"/>
          <w:color w:val="333333"/>
          <w:sz w:val="20"/>
        </w:rPr>
        <w:t>`</w:t>
      </w:r>
    </w:p>
    <w:p>
      <w:pPr>
        <w:pStyle w:val="ListBullet"/>
        <w:spacing w:before="20" w:after="40"/>
      </w:pPr>
      <w:r>
        <w:rPr>
          <w:rFonts w:ascii="Calibri" w:hAnsi="Calibri"/>
          <w:b/>
          <w:i w:val="0"/>
          <w:sz w:val="22"/>
        </w:rPr>
        <w:t>TIPO</w:t>
      </w:r>
      <w:r>
        <w:rPr>
          <w:rFonts w:ascii="Calibri" w:hAnsi="Calibri"/>
          <w:b w:val="0"/>
          <w:i w:val="0"/>
          <w:sz w:val="22"/>
        </w:rPr>
        <w:t xml:space="preserve"> — natureza do documento (ver tabela 3).</w:t>
      </w:r>
    </w:p>
    <w:p>
      <w:pPr>
        <w:pStyle w:val="ListBullet"/>
        <w:spacing w:before="20" w:after="40"/>
      </w:pPr>
      <w:r>
        <w:rPr>
          <w:rFonts w:ascii="Calibri" w:hAnsi="Calibri"/>
          <w:b/>
          <w:i w:val="0"/>
          <w:sz w:val="22"/>
        </w:rPr>
        <w:t>PROCESSO</w:t>
      </w:r>
      <w:r>
        <w:rPr>
          <w:rFonts w:ascii="Calibri" w:hAnsi="Calibri"/>
          <w:b w:val="0"/>
          <w:i w:val="0"/>
          <w:sz w:val="22"/>
        </w:rPr>
        <w:t xml:space="preserve"> — sigla do processo MPS-SW ao qual o documento pertence; ou </w:t>
      </w:r>
      <w:r>
        <w:rPr>
          <w:rFonts w:ascii="Courier New" w:hAnsi="Courier New"/>
          <w:b w:val="0"/>
          <w:i w:val="0"/>
          <w:color w:val="333333"/>
          <w:sz w:val="20"/>
        </w:rPr>
        <w:t>ORG</w:t>
      </w:r>
      <w:r>
        <w:rPr>
          <w:rFonts w:ascii="Calibri" w:hAnsi="Calibri"/>
          <w:b w:val="0"/>
          <w:i w:val="0"/>
          <w:sz w:val="22"/>
        </w:rPr>
        <w:t xml:space="preserve"> quando o documento é de abrangência organizacional (não vinculado a um único processo).</w:t>
      </w:r>
    </w:p>
    <w:p>
      <w:pPr>
        <w:pStyle w:val="ListBullet"/>
        <w:spacing w:before="20" w:after="40"/>
      </w:pPr>
      <w:r>
        <w:rPr>
          <w:rFonts w:ascii="Calibri" w:hAnsi="Calibri"/>
          <w:b/>
          <w:i w:val="0"/>
          <w:sz w:val="22"/>
        </w:rPr>
        <w:t>NÚMERO</w:t>
      </w:r>
      <w:r>
        <w:rPr>
          <w:rFonts w:ascii="Calibri" w:hAnsi="Calibri"/>
          <w:b w:val="0"/>
          <w:i w:val="0"/>
          <w:sz w:val="22"/>
        </w:rPr>
        <w:t xml:space="preserve"> — sequencial de três dígitos dentro daquela combinação tipo+processo, iniciando em </w:t>
      </w:r>
      <w:r>
        <w:rPr>
          <w:rFonts w:ascii="Courier New" w:hAnsi="Courier New"/>
          <w:b w:val="0"/>
          <w:i w:val="0"/>
          <w:color w:val="333333"/>
          <w:sz w:val="20"/>
        </w:rPr>
        <w:t>001</w:t>
      </w:r>
      <w:r>
        <w:rPr>
          <w:rFonts w:ascii="Calibri" w:hAnsi="Calibri"/>
          <w:b w:val="0"/>
          <w:i w:val="0"/>
          <w:sz w:val="22"/>
        </w:rPr>
        <w:t>.</w:t>
      </w:r>
    </w:p>
    <w:p>
      <w:pPr>
        <w:spacing w:before="0" w:after="120"/>
      </w:pPr>
      <w:r>
        <w:rPr>
          <w:rFonts w:ascii="Calibri" w:hAnsi="Calibri"/>
          <w:b/>
          <w:i w:val="0"/>
          <w:sz w:val="22"/>
        </w:rPr>
        <w:t>Exemplos:</w:t>
      </w:r>
    </w:p>
    <w:tbl>
      <w:tblPr>
        <w:tblW w:type="auto" w:w="0"/>
        <w:tblLook w:firstColumn="1" w:firstRow="1" w:lastColumn="0" w:lastRow="0" w:noHBand="0" w:noVBand="1" w:val="04A0"/>
        <w:tblBorders>
          <w:top w:val="single" w:sz="4" w:space="0" w:color="003366"/>
          <w:left w:val="single" w:sz="4" w:space="0" w:color="003366"/>
          <w:bottom w:val="single" w:sz="4" w:space="0" w:color="003366"/>
          <w:right w:val="single" w:sz="4" w:space="0" w:color="003366"/>
          <w:insideH w:val="single" w:sz="4" w:space="0" w:color="003366"/>
          <w:insideV w:val="single" w:sz="4" w:space="0" w:color="003366"/>
        </w:tblBorders>
      </w:tblPr>
      <w:tblGrid>
        <w:gridCol w:w="4451"/>
        <w:gridCol w:w="4451"/>
      </w:tblGrid>
      <w:tr>
        <w:trPr>
          <w:cantSplit w:val="1"/>
        </w:trPr>
        <w:tc>
          <w:tcPr>
            <w:tcW w:type="dxa" w:w="4451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003366"/>
          </w:tcPr>
          <w:p>
            <w:pPr>
              <w:spacing w:before="40" w:after="40"/>
            </w:pPr>
            <w:r>
              <w:rPr>
                <w:rFonts w:ascii="Calibri" w:hAnsi="Calibri"/>
                <w:b/>
                <w:i w:val="0"/>
                <w:color w:val="FFFFFF"/>
                <w:sz w:val="20"/>
              </w:rPr>
              <w:t>Código</w:t>
            </w:r>
          </w:p>
        </w:tc>
        <w:tc>
          <w:tcPr>
            <w:tcW w:type="dxa" w:w="4451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003366"/>
          </w:tcPr>
          <w:p>
            <w:pPr>
              <w:spacing w:before="40" w:after="40"/>
            </w:pPr>
            <w:r>
              <w:rPr>
                <w:rFonts w:ascii="Calibri" w:hAnsi="Calibri"/>
                <w:b/>
                <w:i w:val="0"/>
                <w:color w:val="FFFFFF"/>
                <w:sz w:val="20"/>
              </w:rPr>
              <w:t>Leitura</w:t>
            </w:r>
          </w:p>
        </w:tc>
      </w:tr>
      <w:tr>
        <w:trPr>
          <w:cantSplit w:val="1"/>
        </w:trPr>
        <w:tc>
          <w:tcPr>
            <w:tcW w:type="dxa" w:w="4451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ourier New" w:hAnsi="Courier New"/>
                <w:b w:val="0"/>
                <w:i w:val="0"/>
                <w:color w:val="333333"/>
                <w:sz w:val="20"/>
              </w:rPr>
              <w:t>POL-ORG-001</w:t>
            </w:r>
          </w:p>
        </w:tc>
        <w:tc>
          <w:tcPr>
            <w:tcW w:type="dxa" w:w="4451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Política organizacional nº 001</w:t>
            </w:r>
          </w:p>
        </w:tc>
      </w:tr>
      <w:tr>
        <w:trPr>
          <w:cantSplit w:val="1"/>
        </w:trPr>
        <w:tc>
          <w:tcPr>
            <w:tcW w:type="dxa" w:w="4451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ourier New" w:hAnsi="Courier New"/>
                <w:b w:val="0"/>
                <w:i w:val="0"/>
                <w:color w:val="333333"/>
                <w:sz w:val="20"/>
              </w:rPr>
              <w:t>CONV-ORG-001</w:t>
            </w:r>
          </w:p>
        </w:tc>
        <w:tc>
          <w:tcPr>
            <w:tcW w:type="dxa" w:w="4451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Convenção organizacional nº 001 (este documento)</w:t>
            </w:r>
          </w:p>
        </w:tc>
      </w:tr>
      <w:tr>
        <w:trPr>
          <w:cantSplit w:val="1"/>
        </w:trPr>
        <w:tc>
          <w:tcPr>
            <w:tcW w:type="dxa" w:w="4451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ourier New" w:hAnsi="Courier New"/>
                <w:b w:val="0"/>
                <w:i w:val="0"/>
                <w:color w:val="333333"/>
                <w:sz w:val="20"/>
              </w:rPr>
              <w:t>PRO-GPC-001</w:t>
            </w:r>
          </w:p>
        </w:tc>
        <w:tc>
          <w:tcPr>
            <w:tcW w:type="dxa" w:w="4451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Descrição de processo do GPC nº 001</w:t>
            </w:r>
          </w:p>
        </w:tc>
      </w:tr>
      <w:tr>
        <w:trPr>
          <w:cantSplit w:val="1"/>
        </w:trPr>
        <w:tc>
          <w:tcPr>
            <w:tcW w:type="dxa" w:w="4451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ourier New" w:hAnsi="Courier New"/>
                <w:b w:val="0"/>
                <w:i w:val="0"/>
                <w:color w:val="333333"/>
                <w:sz w:val="20"/>
              </w:rPr>
              <w:t>TPL-GPR-001</w:t>
            </w:r>
          </w:p>
        </w:tc>
        <w:tc>
          <w:tcPr>
            <w:tcW w:type="dxa" w:w="4451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Template do processo GPR nº 001</w:t>
            </w:r>
          </w:p>
        </w:tc>
      </w:tr>
      <w:tr>
        <w:trPr>
          <w:cantSplit w:val="1"/>
        </w:trPr>
        <w:tc>
          <w:tcPr>
            <w:tcW w:type="dxa" w:w="4451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ourier New" w:hAnsi="Courier New"/>
                <w:b w:val="0"/>
                <w:i w:val="0"/>
                <w:color w:val="333333"/>
                <w:sz w:val="20"/>
              </w:rPr>
              <w:t>PLA-MED-001</w:t>
            </w:r>
          </w:p>
        </w:tc>
        <w:tc>
          <w:tcPr>
            <w:tcW w:type="dxa" w:w="4451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Plano do processo MED nº 001</w:t>
            </w:r>
          </w:p>
        </w:tc>
      </w:tr>
      <w:tr>
        <w:trPr>
          <w:cantSplit w:val="1"/>
        </w:trPr>
        <w:tc>
          <w:tcPr>
            <w:tcW w:type="dxa" w:w="4451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ourier New" w:hAnsi="Courier New"/>
                <w:b w:val="0"/>
                <w:i w:val="0"/>
                <w:color w:val="333333"/>
                <w:sz w:val="20"/>
              </w:rPr>
              <w:t>EST-GPC-001</w:t>
            </w:r>
          </w:p>
        </w:tc>
        <w:tc>
          <w:tcPr>
            <w:tcW w:type="dxa" w:w="4451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Estratégia do processo GPC nº 001</w:t>
            </w:r>
          </w:p>
        </w:tc>
      </w:tr>
    </w:tbl>
    <w:p>
      <w:pPr>
        <w:spacing w:before="0" w:after="160"/>
      </w:pPr>
    </w:p>
    <w:p>
      <w:pPr>
        <w:pStyle w:val="Heading1"/>
        <w:keepNext/>
        <w:keepLines/>
        <w:pBdr>
          <w:bottom w:val="single" w:sz="4" w:space="2" w:color="D6E4F0"/>
        </w:pBdr>
      </w:pPr>
      <w:r>
        <w:t>3. Tipos de documento</w:t>
      </w:r>
    </w:p>
    <w:tbl>
      <w:tblPr>
        <w:tblW w:type="auto" w:w="0"/>
        <w:tblLook w:firstColumn="1" w:firstRow="1" w:lastColumn="0" w:lastRow="0" w:noHBand="0" w:noVBand="1" w:val="04A0"/>
        <w:tblBorders>
          <w:top w:val="single" w:sz="4" w:space="0" w:color="003366"/>
          <w:left w:val="single" w:sz="4" w:space="0" w:color="003366"/>
          <w:bottom w:val="single" w:sz="4" w:space="0" w:color="003366"/>
          <w:right w:val="single" w:sz="4" w:space="0" w:color="003366"/>
          <w:insideH w:val="single" w:sz="4" w:space="0" w:color="003366"/>
          <w:insideV w:val="single" w:sz="4" w:space="0" w:color="003366"/>
        </w:tblBorders>
      </w:tblPr>
      <w:tblGrid>
        <w:gridCol w:w="2967"/>
        <w:gridCol w:w="2967"/>
        <w:gridCol w:w="2967"/>
      </w:tblGrid>
      <w:tr>
        <w:trPr>
          <w:cantSplit w:val="1"/>
        </w:trPr>
        <w:tc>
          <w:tcPr>
            <w:tcW w:type="dxa" w:w="2967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003366"/>
          </w:tcPr>
          <w:p>
            <w:pPr>
              <w:spacing w:before="40" w:after="40"/>
            </w:pPr>
            <w:r>
              <w:rPr>
                <w:rFonts w:ascii="Calibri" w:hAnsi="Calibri"/>
                <w:b/>
                <w:i w:val="0"/>
                <w:color w:val="FFFFFF"/>
                <w:sz w:val="20"/>
              </w:rPr>
              <w:t>TIPO</w:t>
            </w:r>
          </w:p>
        </w:tc>
        <w:tc>
          <w:tcPr>
            <w:tcW w:type="dxa" w:w="2967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003366"/>
          </w:tcPr>
          <w:p>
            <w:pPr>
              <w:spacing w:before="40" w:after="40"/>
            </w:pPr>
            <w:r>
              <w:rPr>
                <w:rFonts w:ascii="Calibri" w:hAnsi="Calibri"/>
                <w:b/>
                <w:i w:val="0"/>
                <w:color w:val="FFFFFF"/>
                <w:sz w:val="20"/>
              </w:rPr>
              <w:t>Significado</w:t>
            </w:r>
          </w:p>
        </w:tc>
        <w:tc>
          <w:tcPr>
            <w:tcW w:type="dxa" w:w="2967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003366"/>
          </w:tcPr>
          <w:p>
            <w:pPr>
              <w:spacing w:before="40" w:after="40"/>
            </w:pPr>
            <w:r>
              <w:rPr>
                <w:rFonts w:ascii="Calibri" w:hAnsi="Calibri"/>
                <w:b/>
                <w:i w:val="0"/>
                <w:color w:val="FFFFFF"/>
                <w:sz w:val="20"/>
              </w:rPr>
              <w:t>Exemplos de uso</w:t>
            </w:r>
          </w:p>
        </w:tc>
      </w:tr>
      <w:tr>
        <w:trPr>
          <w:cantSplit w:val="1"/>
        </w:trPr>
        <w:tc>
          <w:tcPr>
            <w:tcW w:type="dxa" w:w="2967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ourier New" w:hAnsi="Courier New"/>
                <w:b w:val="0"/>
                <w:i w:val="0"/>
                <w:color w:val="333333"/>
                <w:sz w:val="20"/>
              </w:rPr>
              <w:t>POL</w:t>
            </w:r>
          </w:p>
        </w:tc>
        <w:tc>
          <w:tcPr>
            <w:tcW w:type="dxa" w:w="2967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Política</w:t>
            </w:r>
          </w:p>
        </w:tc>
        <w:tc>
          <w:tcPr>
            <w:tcW w:type="dxa" w:w="2967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Política Organizacional de Processos</w:t>
            </w:r>
          </w:p>
        </w:tc>
      </w:tr>
      <w:tr>
        <w:trPr>
          <w:cantSplit w:val="1"/>
        </w:trPr>
        <w:tc>
          <w:tcPr>
            <w:tcW w:type="dxa" w:w="2967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ourier New" w:hAnsi="Courier New"/>
                <w:b w:val="0"/>
                <w:i w:val="0"/>
                <w:color w:val="333333"/>
                <w:sz w:val="20"/>
              </w:rPr>
              <w:t>CONV</w:t>
            </w:r>
          </w:p>
        </w:tc>
        <w:tc>
          <w:tcPr>
            <w:tcW w:type="dxa" w:w="2967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Convenção</w:t>
            </w:r>
          </w:p>
        </w:tc>
        <w:tc>
          <w:tcPr>
            <w:tcW w:type="dxa" w:w="2967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Esta convenção; convenções de codificação</w:t>
            </w:r>
          </w:p>
        </w:tc>
      </w:tr>
      <w:tr>
        <w:trPr>
          <w:cantSplit w:val="1"/>
        </w:trPr>
        <w:tc>
          <w:tcPr>
            <w:tcW w:type="dxa" w:w="2967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ourier New" w:hAnsi="Courier New"/>
                <w:b w:val="0"/>
                <w:i w:val="0"/>
                <w:color w:val="333333"/>
                <w:sz w:val="20"/>
              </w:rPr>
              <w:t>PRO</w:t>
            </w:r>
          </w:p>
        </w:tc>
        <w:tc>
          <w:tcPr>
            <w:tcW w:type="dxa" w:w="2967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Processo / Procedimento</w:t>
            </w:r>
          </w:p>
        </w:tc>
        <w:tc>
          <w:tcPr>
            <w:tcW w:type="dxa" w:w="2967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Descrição de processo-padrão, procedimentos operacionais</w:t>
            </w:r>
          </w:p>
        </w:tc>
      </w:tr>
      <w:tr>
        <w:trPr>
          <w:cantSplit w:val="1"/>
        </w:trPr>
        <w:tc>
          <w:tcPr>
            <w:tcW w:type="dxa" w:w="2967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ourier New" w:hAnsi="Courier New"/>
                <w:b w:val="0"/>
                <w:i w:val="0"/>
                <w:color w:val="333333"/>
                <w:sz w:val="20"/>
              </w:rPr>
              <w:t>EST</w:t>
            </w:r>
          </w:p>
        </w:tc>
        <w:tc>
          <w:tcPr>
            <w:tcW w:type="dxa" w:w="2967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Estratégia</w:t>
            </w:r>
          </w:p>
        </w:tc>
        <w:tc>
          <w:tcPr>
            <w:tcW w:type="dxa" w:w="2967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Estratégia de garantia da qualidade; estratégia de riscos</w:t>
            </w:r>
          </w:p>
        </w:tc>
      </w:tr>
      <w:tr>
        <w:trPr>
          <w:cantSplit w:val="1"/>
        </w:trPr>
        <w:tc>
          <w:tcPr>
            <w:tcW w:type="dxa" w:w="2967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ourier New" w:hAnsi="Courier New"/>
                <w:b w:val="0"/>
                <w:i w:val="0"/>
                <w:color w:val="333333"/>
                <w:sz w:val="20"/>
              </w:rPr>
              <w:t>PLA</w:t>
            </w:r>
          </w:p>
        </w:tc>
        <w:tc>
          <w:tcPr>
            <w:tcW w:type="dxa" w:w="2967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Plano</w:t>
            </w:r>
          </w:p>
        </w:tc>
        <w:tc>
          <w:tcPr>
            <w:tcW w:type="dxa" w:w="2967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Plano de medição; plano de capacitação; plano de projeto</w:t>
            </w:r>
          </w:p>
        </w:tc>
      </w:tr>
      <w:tr>
        <w:trPr>
          <w:cantSplit w:val="1"/>
        </w:trPr>
        <w:tc>
          <w:tcPr>
            <w:tcW w:type="dxa" w:w="2967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ourier New" w:hAnsi="Courier New"/>
                <w:b w:val="0"/>
                <w:i w:val="0"/>
                <w:color w:val="333333"/>
                <w:sz w:val="20"/>
              </w:rPr>
              <w:t>TPL</w:t>
            </w:r>
          </w:p>
        </w:tc>
        <w:tc>
          <w:tcPr>
            <w:tcW w:type="dxa" w:w="2967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Template / Modelo</w:t>
            </w:r>
          </w:p>
        </w:tc>
        <w:tc>
          <w:tcPr>
            <w:tcW w:type="dxa" w:w="2967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Modelos em branco a serem preenchidos por projeto</w:t>
            </w:r>
          </w:p>
        </w:tc>
      </w:tr>
      <w:tr>
        <w:trPr>
          <w:cantSplit w:val="1"/>
        </w:trPr>
        <w:tc>
          <w:tcPr>
            <w:tcW w:type="dxa" w:w="2967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ourier New" w:hAnsi="Courier New"/>
                <w:b w:val="0"/>
                <w:i w:val="0"/>
                <w:color w:val="333333"/>
                <w:sz w:val="20"/>
              </w:rPr>
              <w:t>REG</w:t>
            </w:r>
          </w:p>
        </w:tc>
        <w:tc>
          <w:tcPr>
            <w:tcW w:type="dxa" w:w="2967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Registro</w:t>
            </w:r>
          </w:p>
        </w:tc>
        <w:tc>
          <w:tcPr>
            <w:tcW w:type="dxa" w:w="2967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Templates preenchidos; atas; relatórios; evidências</w:t>
            </w:r>
          </w:p>
        </w:tc>
      </w:tr>
      <w:tr>
        <w:trPr>
          <w:cantSplit w:val="1"/>
        </w:trPr>
        <w:tc>
          <w:tcPr>
            <w:tcW w:type="dxa" w:w="2967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ourier New" w:hAnsi="Courier New"/>
                <w:b w:val="0"/>
                <w:i w:val="0"/>
                <w:color w:val="333333"/>
                <w:sz w:val="20"/>
              </w:rPr>
              <w:t>GUIA</w:t>
            </w:r>
          </w:p>
        </w:tc>
        <w:tc>
          <w:tcPr>
            <w:tcW w:type="dxa" w:w="2967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Guia / Diretriz</w:t>
            </w:r>
          </w:p>
        </w:tc>
        <w:tc>
          <w:tcPr>
            <w:tcW w:type="dxa" w:w="2967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Guia de adaptação (tailoring); diretrizes</w:t>
            </w:r>
          </w:p>
        </w:tc>
      </w:tr>
      <w:tr>
        <w:trPr>
          <w:cantSplit w:val="1"/>
        </w:trPr>
        <w:tc>
          <w:tcPr>
            <w:tcW w:type="dxa" w:w="2967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ourier New" w:hAnsi="Courier New"/>
                <w:b w:val="0"/>
                <w:i w:val="0"/>
                <w:color w:val="333333"/>
                <w:sz w:val="20"/>
              </w:rPr>
              <w:t>MAPA</w:t>
            </w:r>
          </w:p>
        </w:tc>
        <w:tc>
          <w:tcPr>
            <w:tcW w:type="dxa" w:w="2967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Índice / Mapa</w:t>
            </w:r>
          </w:p>
        </w:tc>
        <w:tc>
          <w:tcPr>
            <w:tcW w:type="dxa" w:w="2967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Mapa de artefatos; índices-mestre</w:t>
            </w:r>
          </w:p>
        </w:tc>
      </w:tr>
      <w:tr>
        <w:trPr>
          <w:cantSplit w:val="1"/>
        </w:trPr>
        <w:tc>
          <w:tcPr>
            <w:tcW w:type="dxa" w:w="2967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ourier New" w:hAnsi="Courier New"/>
                <w:b w:val="0"/>
                <w:i w:val="0"/>
                <w:color w:val="333333"/>
                <w:sz w:val="20"/>
              </w:rPr>
              <w:t>CAT</w:t>
            </w:r>
          </w:p>
        </w:tc>
        <w:tc>
          <w:tcPr>
            <w:tcW w:type="dxa" w:w="2967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Catálogo</w:t>
            </w:r>
          </w:p>
        </w:tc>
        <w:tc>
          <w:tcPr>
            <w:tcW w:type="dxa" w:w="2967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Catálogo de medidas; catálogo de ativos</w:t>
            </w:r>
          </w:p>
        </w:tc>
      </w:tr>
    </w:tbl>
    <w:p>
      <w:pPr>
        <w:spacing w:before="0" w:after="160"/>
      </w:pPr>
    </w:p>
    <w:p>
      <w:pPr>
        <w:pStyle w:val="Heading1"/>
        <w:keepNext/>
        <w:keepLines/>
        <w:pBdr>
          <w:bottom w:val="single" w:sz="4" w:space="2" w:color="D6E4F0"/>
        </w:pBdr>
      </w:pPr>
      <w:r>
        <w:t>4. Siglas de processo (MPS-SW Nível C)</w:t>
      </w:r>
    </w:p>
    <w:tbl>
      <w:tblPr>
        <w:tblW w:type="auto" w:w="0"/>
        <w:tblLook w:firstColumn="1" w:firstRow="1" w:lastColumn="0" w:lastRow="0" w:noHBand="0" w:noVBand="1" w:val="04A0"/>
        <w:tblBorders>
          <w:top w:val="single" w:sz="4" w:space="0" w:color="003366"/>
          <w:left w:val="single" w:sz="4" w:space="0" w:color="003366"/>
          <w:bottom w:val="single" w:sz="4" w:space="0" w:color="003366"/>
          <w:right w:val="single" w:sz="4" w:space="0" w:color="003366"/>
          <w:insideH w:val="single" w:sz="4" w:space="0" w:color="003366"/>
          <w:insideV w:val="single" w:sz="4" w:space="0" w:color="003366"/>
        </w:tblBorders>
      </w:tblPr>
      <w:tblGrid>
        <w:gridCol w:w="4451"/>
        <w:gridCol w:w="4451"/>
      </w:tblGrid>
      <w:tr>
        <w:trPr>
          <w:cantSplit w:val="1"/>
        </w:trPr>
        <w:tc>
          <w:tcPr>
            <w:tcW w:type="dxa" w:w="4451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003366"/>
          </w:tcPr>
          <w:p>
            <w:pPr>
              <w:spacing w:before="40" w:after="40"/>
            </w:pPr>
            <w:r>
              <w:rPr>
                <w:rFonts w:ascii="Calibri" w:hAnsi="Calibri"/>
                <w:b/>
                <w:i w:val="0"/>
                <w:color w:val="FFFFFF"/>
                <w:sz w:val="20"/>
              </w:rPr>
              <w:t>Sigla</w:t>
            </w:r>
          </w:p>
        </w:tc>
        <w:tc>
          <w:tcPr>
            <w:tcW w:type="dxa" w:w="4451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003366"/>
          </w:tcPr>
          <w:p>
            <w:pPr>
              <w:spacing w:before="40" w:after="40"/>
            </w:pPr>
            <w:r>
              <w:rPr>
                <w:rFonts w:ascii="Calibri" w:hAnsi="Calibri"/>
                <w:b/>
                <w:i w:val="0"/>
                <w:color w:val="FFFFFF"/>
                <w:sz w:val="20"/>
              </w:rPr>
              <w:t>Processo</w:t>
            </w:r>
          </w:p>
        </w:tc>
      </w:tr>
      <w:tr>
        <w:trPr>
          <w:cantSplit w:val="1"/>
        </w:trPr>
        <w:tc>
          <w:tcPr>
            <w:tcW w:type="dxa" w:w="4451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ourier New" w:hAnsi="Courier New"/>
                <w:b w:val="0"/>
                <w:i w:val="0"/>
                <w:color w:val="333333"/>
                <w:sz w:val="20"/>
              </w:rPr>
              <w:t>GPR</w:t>
            </w:r>
          </w:p>
        </w:tc>
        <w:tc>
          <w:tcPr>
            <w:tcW w:type="dxa" w:w="4451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Gerência de Projetos</w:t>
            </w:r>
          </w:p>
        </w:tc>
      </w:tr>
      <w:tr>
        <w:trPr>
          <w:cantSplit w:val="1"/>
        </w:trPr>
        <w:tc>
          <w:tcPr>
            <w:tcW w:type="dxa" w:w="4451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ourier New" w:hAnsi="Courier New"/>
                <w:b w:val="0"/>
                <w:i w:val="0"/>
                <w:color w:val="333333"/>
                <w:sz w:val="20"/>
              </w:rPr>
              <w:t>REQ</w:t>
            </w:r>
          </w:p>
        </w:tc>
        <w:tc>
          <w:tcPr>
            <w:tcW w:type="dxa" w:w="4451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Engenharia de Requisitos</w:t>
            </w:r>
          </w:p>
        </w:tc>
      </w:tr>
      <w:tr>
        <w:trPr>
          <w:cantSplit w:val="1"/>
        </w:trPr>
        <w:tc>
          <w:tcPr>
            <w:tcW w:type="dxa" w:w="4451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ourier New" w:hAnsi="Courier New"/>
                <w:b w:val="0"/>
                <w:i w:val="0"/>
                <w:color w:val="333333"/>
                <w:sz w:val="20"/>
              </w:rPr>
              <w:t>PCP</w:t>
            </w:r>
          </w:p>
        </w:tc>
        <w:tc>
          <w:tcPr>
            <w:tcW w:type="dxa" w:w="4451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Projeto e Construção do Produto</w:t>
            </w:r>
          </w:p>
        </w:tc>
      </w:tr>
      <w:tr>
        <w:trPr>
          <w:cantSplit w:val="1"/>
        </w:trPr>
        <w:tc>
          <w:tcPr>
            <w:tcW w:type="dxa" w:w="4451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ourier New" w:hAnsi="Courier New"/>
                <w:b w:val="0"/>
                <w:i w:val="0"/>
                <w:color w:val="333333"/>
                <w:sz w:val="20"/>
              </w:rPr>
              <w:t>ITP</w:t>
            </w:r>
          </w:p>
        </w:tc>
        <w:tc>
          <w:tcPr>
            <w:tcW w:type="dxa" w:w="4451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Integração do Produto</w:t>
            </w:r>
          </w:p>
        </w:tc>
      </w:tr>
      <w:tr>
        <w:trPr>
          <w:cantSplit w:val="1"/>
        </w:trPr>
        <w:tc>
          <w:tcPr>
            <w:tcW w:type="dxa" w:w="4451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ourier New" w:hAnsi="Courier New"/>
                <w:b w:val="0"/>
                <w:i w:val="0"/>
                <w:color w:val="333333"/>
                <w:sz w:val="20"/>
              </w:rPr>
              <w:t>VV</w:t>
            </w:r>
          </w:p>
        </w:tc>
        <w:tc>
          <w:tcPr>
            <w:tcW w:type="dxa" w:w="4451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Verificação e Validação</w:t>
            </w:r>
          </w:p>
        </w:tc>
      </w:tr>
      <w:tr>
        <w:trPr>
          <w:cantSplit w:val="1"/>
        </w:trPr>
        <w:tc>
          <w:tcPr>
            <w:tcW w:type="dxa" w:w="4451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ourier New" w:hAnsi="Courier New"/>
                <w:b w:val="0"/>
                <w:i w:val="0"/>
                <w:color w:val="333333"/>
                <w:sz w:val="20"/>
              </w:rPr>
              <w:t>GCO</w:t>
            </w:r>
          </w:p>
        </w:tc>
        <w:tc>
          <w:tcPr>
            <w:tcW w:type="dxa" w:w="4451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Gerência de Configuração</w:t>
            </w:r>
          </w:p>
        </w:tc>
      </w:tr>
      <w:tr>
        <w:trPr>
          <w:cantSplit w:val="1"/>
        </w:trPr>
        <w:tc>
          <w:tcPr>
            <w:tcW w:type="dxa" w:w="4451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ourier New" w:hAnsi="Courier New"/>
                <w:b w:val="0"/>
                <w:i w:val="0"/>
                <w:color w:val="333333"/>
                <w:sz w:val="20"/>
              </w:rPr>
              <w:t>CAP</w:t>
            </w:r>
          </w:p>
        </w:tc>
        <w:tc>
          <w:tcPr>
            <w:tcW w:type="dxa" w:w="4451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Capacitação</w:t>
            </w:r>
          </w:p>
        </w:tc>
      </w:tr>
      <w:tr>
        <w:trPr>
          <w:cantSplit w:val="1"/>
        </w:trPr>
        <w:tc>
          <w:tcPr>
            <w:tcW w:type="dxa" w:w="4451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ourier New" w:hAnsi="Courier New"/>
                <w:b w:val="0"/>
                <w:i w:val="0"/>
                <w:color w:val="333333"/>
                <w:sz w:val="20"/>
              </w:rPr>
              <w:t>OSW</w:t>
            </w:r>
          </w:p>
        </w:tc>
        <w:tc>
          <w:tcPr>
            <w:tcW w:type="dxa" w:w="4451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Gerência Organizacional de Software</w:t>
            </w:r>
          </w:p>
        </w:tc>
      </w:tr>
      <w:tr>
        <w:trPr>
          <w:cantSplit w:val="1"/>
        </w:trPr>
        <w:tc>
          <w:tcPr>
            <w:tcW w:type="dxa" w:w="4451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ourier New" w:hAnsi="Courier New"/>
                <w:b w:val="0"/>
                <w:i w:val="0"/>
                <w:color w:val="333333"/>
                <w:sz w:val="20"/>
              </w:rPr>
              <w:t>GPC</w:t>
            </w:r>
          </w:p>
        </w:tc>
        <w:tc>
          <w:tcPr>
            <w:tcW w:type="dxa" w:w="4451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Gerência de Processos</w:t>
            </w:r>
          </w:p>
        </w:tc>
      </w:tr>
      <w:tr>
        <w:trPr>
          <w:cantSplit w:val="1"/>
        </w:trPr>
        <w:tc>
          <w:tcPr>
            <w:tcW w:type="dxa" w:w="4451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ourier New" w:hAnsi="Courier New"/>
                <w:b w:val="0"/>
                <w:i w:val="0"/>
                <w:color w:val="333333"/>
                <w:sz w:val="20"/>
              </w:rPr>
              <w:t>MED</w:t>
            </w:r>
          </w:p>
        </w:tc>
        <w:tc>
          <w:tcPr>
            <w:tcW w:type="dxa" w:w="4451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Medição</w:t>
            </w:r>
          </w:p>
        </w:tc>
      </w:tr>
      <w:tr>
        <w:trPr>
          <w:cantSplit w:val="1"/>
        </w:trPr>
        <w:tc>
          <w:tcPr>
            <w:tcW w:type="dxa" w:w="4451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ourier New" w:hAnsi="Courier New"/>
                <w:b w:val="0"/>
                <w:i w:val="0"/>
                <w:color w:val="333333"/>
                <w:sz w:val="20"/>
              </w:rPr>
              <w:t>AQU</w:t>
            </w:r>
          </w:p>
        </w:tc>
        <w:tc>
          <w:tcPr>
            <w:tcW w:type="dxa" w:w="4451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Aquisição</w:t>
            </w:r>
          </w:p>
        </w:tc>
      </w:tr>
      <w:tr>
        <w:trPr>
          <w:cantSplit w:val="1"/>
        </w:trPr>
        <w:tc>
          <w:tcPr>
            <w:tcW w:type="dxa" w:w="4451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ourier New" w:hAnsi="Courier New"/>
                <w:b w:val="0"/>
                <w:i w:val="0"/>
                <w:color w:val="333333"/>
                <w:sz w:val="20"/>
              </w:rPr>
              <w:t>GDE</w:t>
            </w:r>
          </w:p>
        </w:tc>
        <w:tc>
          <w:tcPr>
            <w:tcW w:type="dxa" w:w="4451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Gerência de Decisões</w:t>
            </w:r>
          </w:p>
        </w:tc>
      </w:tr>
      <w:tr>
        <w:trPr>
          <w:cantSplit w:val="1"/>
        </w:trPr>
        <w:tc>
          <w:tcPr>
            <w:tcW w:type="dxa" w:w="4451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ourier New" w:hAnsi="Courier New"/>
                <w:b w:val="0"/>
                <w:i w:val="0"/>
                <w:color w:val="333333"/>
                <w:sz w:val="20"/>
              </w:rPr>
              <w:t>ORG</w:t>
            </w:r>
          </w:p>
        </w:tc>
        <w:tc>
          <w:tcPr>
            <w:tcW w:type="dxa" w:w="4451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Organizacional (sem vínculo a um processo único)</w:t>
            </w:r>
          </w:p>
        </w:tc>
      </w:tr>
    </w:tbl>
    <w:p>
      <w:pPr>
        <w:spacing w:before="0" w:after="160"/>
      </w:pPr>
    </w:p>
    <w:p>
      <w:pPr>
        <w:pStyle w:val="Heading1"/>
        <w:keepNext/>
        <w:keepLines/>
        <w:pBdr>
          <w:bottom w:val="single" w:sz="4" w:space="2" w:color="D6E4F0"/>
        </w:pBdr>
      </w:pPr>
      <w:r>
        <w:t>5. Nome do arquivo</w:t>
      </w:r>
    </w:p>
    <w:p>
      <w:pPr>
        <w:spacing w:before="0" w:after="120"/>
      </w:pPr>
      <w:r>
        <w:rPr>
          <w:rFonts w:ascii="Calibri" w:hAnsi="Calibri"/>
          <w:b w:val="0"/>
          <w:i w:val="0"/>
          <w:sz w:val="22"/>
        </w:rPr>
        <w:t>O nome do arquivo combina o código com uma descrição curta, separados por underline, sem datas e sem espaços:</w:t>
      </w:r>
    </w:p>
    <w:p>
      <w:pPr>
        <w:spacing w:before="0" w:after="120"/>
      </w:pPr>
      <w:r>
        <w:rPr>
          <w:rFonts w:ascii="Courier New" w:hAnsi="Courier New"/>
          <w:b w:val="0"/>
          <w:i w:val="0"/>
          <w:color w:val="333333"/>
          <w:sz w:val="20"/>
        </w:rPr>
        <w:t>`</w:t>
      </w:r>
    </w:p>
    <w:p>
      <w:pPr>
        <w:spacing w:before="0" w:after="120"/>
      </w:pPr>
      <w:r>
        <w:rPr>
          <w:rFonts w:ascii="Calibri" w:hAnsi="Calibri"/>
          <w:b w:val="0"/>
          <w:i w:val="0"/>
          <w:sz w:val="22"/>
        </w:rPr>
        <w:t>CÓDIGO_Descricao-Curta.extensao</w:t>
      </w:r>
    </w:p>
    <w:p>
      <w:pPr>
        <w:spacing w:before="0" w:after="120"/>
      </w:pPr>
      <w:r>
        <w:rPr>
          <w:rFonts w:ascii="Courier New" w:hAnsi="Courier New"/>
          <w:b w:val="0"/>
          <w:i w:val="0"/>
          <w:color w:val="333333"/>
          <w:sz w:val="20"/>
        </w:rPr>
        <w:t>`</w:t>
      </w:r>
    </w:p>
    <w:p>
      <w:pPr>
        <w:spacing w:before="0" w:after="120"/>
      </w:pPr>
      <w:r>
        <w:rPr>
          <w:rFonts w:ascii="Calibri" w:hAnsi="Calibri"/>
          <w:b/>
          <w:i w:val="0"/>
          <w:sz w:val="22"/>
        </w:rPr>
        <w:t>Exemplos:</w:t>
      </w:r>
    </w:p>
    <w:p>
      <w:pPr>
        <w:pStyle w:val="ListBullet"/>
        <w:spacing w:before="20" w:after="40"/>
      </w:pPr>
      <w:r>
        <w:rPr>
          <w:rFonts w:ascii="Courier New" w:hAnsi="Courier New"/>
          <w:b w:val="0"/>
          <w:i w:val="0"/>
          <w:color w:val="333333"/>
          <w:sz w:val="20"/>
        </w:rPr>
        <w:t>POL-ORG-001_Politica-Organizacional-de-Processos.md</w:t>
      </w:r>
    </w:p>
    <w:p>
      <w:pPr>
        <w:pStyle w:val="ListBullet"/>
        <w:spacing w:before="20" w:after="40"/>
      </w:pPr>
      <w:r>
        <w:rPr>
          <w:rFonts w:ascii="Courier New" w:hAnsi="Courier New"/>
          <w:b w:val="0"/>
          <w:i w:val="0"/>
          <w:color w:val="333333"/>
          <w:sz w:val="20"/>
        </w:rPr>
        <w:t>TPL-GPR-001_Plano-de-Projeto.md</w:t>
      </w:r>
    </w:p>
    <w:p>
      <w:pPr>
        <w:pStyle w:val="ListBullet"/>
        <w:spacing w:before="20" w:after="40"/>
      </w:pPr>
      <w:r>
        <w:rPr>
          <w:rFonts w:ascii="Courier New" w:hAnsi="Courier New"/>
          <w:b w:val="0"/>
          <w:i w:val="0"/>
          <w:color w:val="333333"/>
          <w:sz w:val="20"/>
        </w:rPr>
        <w:t>PRO-GPC-001_Processo-Padrao-Organizacional.md</w:t>
      </w:r>
    </w:p>
    <w:p>
      <w:pPr>
        <w:spacing w:before="0" w:after="120"/>
      </w:pPr>
      <w:r>
        <w:rPr>
          <w:rFonts w:ascii="Calibri" w:hAnsi="Calibri"/>
          <w:b w:val="0"/>
          <w:i w:val="0"/>
          <w:sz w:val="22"/>
        </w:rPr>
        <w:t>Regras:</w:t>
      </w:r>
    </w:p>
    <w:p>
      <w:pPr>
        <w:pStyle w:val="ListBullet"/>
        <w:spacing w:before="20" w:after="40"/>
      </w:pPr>
      <w:r>
        <w:rPr>
          <w:rFonts w:ascii="Calibri" w:hAnsi="Calibri"/>
          <w:b w:val="0"/>
          <w:i w:val="0"/>
          <w:sz w:val="22"/>
        </w:rPr>
        <w:t>Sem datas no nome do arquivo. As datas ficam apenas no cabeçalho e no histórico de revisões internos ao documento.</w:t>
      </w:r>
    </w:p>
    <w:p>
      <w:pPr>
        <w:pStyle w:val="ListBullet"/>
        <w:spacing w:before="20" w:after="40"/>
      </w:pPr>
      <w:r>
        <w:rPr>
          <w:rFonts w:ascii="Calibri" w:hAnsi="Calibri"/>
          <w:b w:val="0"/>
          <w:i w:val="0"/>
          <w:sz w:val="22"/>
        </w:rPr>
        <w:t>Sem acentos e sem espaços no nome do arquivo (usar hífen na descrição).</w:t>
      </w:r>
    </w:p>
    <w:p>
      <w:pPr>
        <w:pStyle w:val="ListBullet"/>
        <w:spacing w:before="20" w:after="40"/>
      </w:pPr>
      <w:r>
        <w:rPr>
          <w:rFonts w:ascii="Calibri" w:hAnsi="Calibri"/>
          <w:b w:val="0"/>
          <w:i w:val="0"/>
          <w:sz w:val="22"/>
        </w:rPr>
        <w:t>O código nunca muda ao longo da vida do documento, mesmo entre versões.</w:t>
      </w:r>
    </w:p>
    <w:p>
      <w:pPr>
        <w:pStyle w:val="Heading1"/>
        <w:keepNext/>
        <w:keepLines/>
        <w:pBdr>
          <w:bottom w:val="single" w:sz="4" w:space="2" w:color="D6E4F0"/>
        </w:pBdr>
      </w:pPr>
      <w:r>
        <w:t>6. Versionamento</w:t>
      </w:r>
    </w:p>
    <w:p>
      <w:pPr>
        <w:spacing w:before="0" w:after="120"/>
      </w:pPr>
      <w:r>
        <w:rPr>
          <w:rFonts w:ascii="Calibri" w:hAnsi="Calibri"/>
          <w:b w:val="0"/>
          <w:i w:val="0"/>
          <w:sz w:val="22"/>
        </w:rPr>
        <w:t xml:space="preserve">A versão segue o formato </w:t>
      </w:r>
      <w:r>
        <w:rPr>
          <w:rFonts w:ascii="Courier New" w:hAnsi="Courier New"/>
          <w:b w:val="0"/>
          <w:i w:val="0"/>
          <w:color w:val="333333"/>
          <w:sz w:val="20"/>
        </w:rPr>
        <w:t>MAIOR.MENOR</w:t>
      </w:r>
      <w:r>
        <w:rPr>
          <w:rFonts w:ascii="Calibri" w:hAnsi="Calibri"/>
          <w:b w:val="0"/>
          <w:i w:val="0"/>
          <w:sz w:val="22"/>
        </w:rPr>
        <w:t>, sem data:</w:t>
      </w:r>
    </w:p>
    <w:tbl>
      <w:tblPr>
        <w:tblW w:type="auto" w:w="0"/>
        <w:tblLook w:firstColumn="1" w:firstRow="1" w:lastColumn="0" w:lastRow="0" w:noHBand="0" w:noVBand="1" w:val="04A0"/>
        <w:tblBorders>
          <w:top w:val="single" w:sz="4" w:space="0" w:color="003366"/>
          <w:left w:val="single" w:sz="4" w:space="0" w:color="003366"/>
          <w:bottom w:val="single" w:sz="4" w:space="0" w:color="003366"/>
          <w:right w:val="single" w:sz="4" w:space="0" w:color="003366"/>
          <w:insideH w:val="single" w:sz="4" w:space="0" w:color="003366"/>
          <w:insideV w:val="single" w:sz="4" w:space="0" w:color="003366"/>
        </w:tblBorders>
      </w:tblPr>
      <w:tblGrid>
        <w:gridCol w:w="2967"/>
        <w:gridCol w:w="2967"/>
        <w:gridCol w:w="2967"/>
      </w:tblGrid>
      <w:tr>
        <w:trPr>
          <w:cantSplit w:val="1"/>
        </w:trPr>
        <w:tc>
          <w:tcPr>
            <w:tcW w:type="dxa" w:w="2967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003366"/>
          </w:tcPr>
          <w:p>
            <w:pPr>
              <w:spacing w:before="40" w:after="40"/>
            </w:pPr>
            <w:r>
              <w:rPr>
                <w:rFonts w:ascii="Calibri" w:hAnsi="Calibri"/>
                <w:b/>
                <w:i w:val="0"/>
                <w:color w:val="FFFFFF"/>
                <w:sz w:val="20"/>
              </w:rPr>
              <w:t>Situação</w:t>
            </w:r>
          </w:p>
        </w:tc>
        <w:tc>
          <w:tcPr>
            <w:tcW w:type="dxa" w:w="2967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003366"/>
          </w:tcPr>
          <w:p>
            <w:pPr>
              <w:spacing w:before="40" w:after="40"/>
            </w:pPr>
            <w:r>
              <w:rPr>
                <w:rFonts w:ascii="Calibri" w:hAnsi="Calibri"/>
                <w:b/>
                <w:i w:val="0"/>
                <w:color w:val="FFFFFF"/>
                <w:sz w:val="20"/>
              </w:rPr>
              <w:t>Versão</w:t>
            </w:r>
          </w:p>
        </w:tc>
        <w:tc>
          <w:tcPr>
            <w:tcW w:type="dxa" w:w="2967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003366"/>
          </w:tcPr>
          <w:p>
            <w:pPr>
              <w:spacing w:before="40" w:after="40"/>
            </w:pPr>
            <w:r>
              <w:rPr>
                <w:rFonts w:ascii="Calibri" w:hAnsi="Calibri"/>
                <w:b/>
                <w:i w:val="0"/>
                <w:color w:val="FFFFFF"/>
                <w:sz w:val="20"/>
              </w:rPr>
              <w:t>Quando aplicar</w:t>
            </w:r>
          </w:p>
        </w:tc>
      </w:tr>
      <w:tr>
        <w:trPr>
          <w:cantSplit w:val="1"/>
        </w:trPr>
        <w:tc>
          <w:tcPr>
            <w:tcW w:type="dxa" w:w="2967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Rascunho</w:t>
            </w:r>
          </w:p>
        </w:tc>
        <w:tc>
          <w:tcPr>
            <w:tcW w:type="dxa" w:w="2967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ourier New" w:hAnsi="Courier New"/>
                <w:b w:val="0"/>
                <w:i w:val="0"/>
                <w:color w:val="333333"/>
                <w:sz w:val="20"/>
              </w:rPr>
              <w:t>0.1</w:t>
            </w:r>
            <w:r>
              <w:rPr>
                <w:rFonts w:ascii="Calibri" w:hAnsi="Calibri"/>
                <w:b w:val="0"/>
                <w:i w:val="0"/>
                <w:sz w:val="20"/>
              </w:rPr>
              <w:t xml:space="preserve">, </w:t>
            </w:r>
            <w:r>
              <w:rPr>
                <w:rFonts w:ascii="Courier New" w:hAnsi="Courier New"/>
                <w:b w:val="0"/>
                <w:i w:val="0"/>
                <w:color w:val="333333"/>
                <w:sz w:val="20"/>
              </w:rPr>
              <w:t>0.2</w:t>
            </w:r>
            <w:r>
              <w:rPr>
                <w:rFonts w:ascii="Calibri" w:hAnsi="Calibri"/>
                <w:b w:val="0"/>
                <w:i w:val="0"/>
                <w:sz w:val="20"/>
              </w:rPr>
              <w:t>, ...</w:t>
            </w:r>
          </w:p>
        </w:tc>
        <w:tc>
          <w:tcPr>
            <w:tcW w:type="dxa" w:w="2967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Documento em elaboração, ainda não aprovado.</w:t>
            </w:r>
          </w:p>
        </w:tc>
      </w:tr>
      <w:tr>
        <w:trPr>
          <w:cantSplit w:val="1"/>
        </w:trPr>
        <w:tc>
          <w:tcPr>
            <w:tcW w:type="dxa" w:w="2967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Aprovado</w:t>
            </w:r>
          </w:p>
        </w:tc>
        <w:tc>
          <w:tcPr>
            <w:tcW w:type="dxa" w:w="2967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ourier New" w:hAnsi="Courier New"/>
                <w:b w:val="0"/>
                <w:i w:val="0"/>
                <w:color w:val="333333"/>
                <w:sz w:val="20"/>
              </w:rPr>
              <w:t>1.0</w:t>
            </w:r>
          </w:p>
        </w:tc>
        <w:tc>
          <w:tcPr>
            <w:tcW w:type="dxa" w:w="2967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Primeira versão aprovada e oficializada.</w:t>
            </w:r>
          </w:p>
        </w:tc>
      </w:tr>
      <w:tr>
        <w:trPr>
          <w:cantSplit w:val="1"/>
        </w:trPr>
        <w:tc>
          <w:tcPr>
            <w:tcW w:type="dxa" w:w="2967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Ajuste menor</w:t>
            </w:r>
          </w:p>
        </w:tc>
        <w:tc>
          <w:tcPr>
            <w:tcW w:type="dxa" w:w="2967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ourier New" w:hAnsi="Courier New"/>
                <w:b w:val="0"/>
                <w:i w:val="0"/>
                <w:color w:val="333333"/>
                <w:sz w:val="20"/>
              </w:rPr>
              <w:t>1.1</w:t>
            </w:r>
            <w:r>
              <w:rPr>
                <w:rFonts w:ascii="Calibri" w:hAnsi="Calibri"/>
                <w:b w:val="0"/>
                <w:i w:val="0"/>
                <w:sz w:val="20"/>
              </w:rPr>
              <w:t xml:space="preserve">, </w:t>
            </w:r>
            <w:r>
              <w:rPr>
                <w:rFonts w:ascii="Courier New" w:hAnsi="Courier New"/>
                <w:b w:val="0"/>
                <w:i w:val="0"/>
                <w:color w:val="333333"/>
                <w:sz w:val="20"/>
              </w:rPr>
              <w:t>1.2</w:t>
            </w:r>
            <w:r>
              <w:rPr>
                <w:rFonts w:ascii="Calibri" w:hAnsi="Calibri"/>
                <w:b w:val="0"/>
                <w:i w:val="0"/>
                <w:sz w:val="20"/>
              </w:rPr>
              <w:t>, ...</w:t>
            </w:r>
          </w:p>
        </w:tc>
        <w:tc>
          <w:tcPr>
            <w:tcW w:type="dxa" w:w="2967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Correções, ajustes de texto, complementos que não alteram a estrutura.</w:t>
            </w:r>
          </w:p>
        </w:tc>
      </w:tr>
      <w:tr>
        <w:trPr>
          <w:cantSplit w:val="1"/>
        </w:trPr>
        <w:tc>
          <w:tcPr>
            <w:tcW w:type="dxa" w:w="2967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Revisão maior</w:t>
            </w:r>
          </w:p>
        </w:tc>
        <w:tc>
          <w:tcPr>
            <w:tcW w:type="dxa" w:w="2967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ourier New" w:hAnsi="Courier New"/>
                <w:b w:val="0"/>
                <w:i w:val="0"/>
                <w:color w:val="333333"/>
                <w:sz w:val="20"/>
              </w:rPr>
              <w:t>2.0</w:t>
            </w:r>
            <w:r>
              <w:rPr>
                <w:rFonts w:ascii="Calibri" w:hAnsi="Calibri"/>
                <w:b w:val="0"/>
                <w:i w:val="0"/>
                <w:sz w:val="20"/>
              </w:rPr>
              <w:t xml:space="preserve">, </w:t>
            </w:r>
            <w:r>
              <w:rPr>
                <w:rFonts w:ascii="Courier New" w:hAnsi="Courier New"/>
                <w:b w:val="0"/>
                <w:i w:val="0"/>
                <w:color w:val="333333"/>
                <w:sz w:val="20"/>
              </w:rPr>
              <w:t>3.0</w:t>
            </w:r>
            <w:r>
              <w:rPr>
                <w:rFonts w:ascii="Calibri" w:hAnsi="Calibri"/>
                <w:b w:val="0"/>
                <w:i w:val="0"/>
                <w:sz w:val="20"/>
              </w:rPr>
              <w:t>, ...</w:t>
            </w:r>
          </w:p>
        </w:tc>
        <w:tc>
          <w:tcPr>
            <w:tcW w:type="dxa" w:w="2967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Mudança estrutural, de escopo ou de conteúdo significativa.</w:t>
            </w:r>
          </w:p>
        </w:tc>
      </w:tr>
    </w:tbl>
    <w:p>
      <w:pPr>
        <w:spacing w:before="0" w:after="160"/>
      </w:pPr>
    </w:p>
    <w:p>
      <w:pPr>
        <w:spacing w:before="0" w:after="120"/>
      </w:pPr>
      <w:r>
        <w:rPr>
          <w:rFonts w:ascii="Calibri" w:hAnsi="Calibri"/>
          <w:b w:val="0"/>
          <w:i w:val="0"/>
          <w:sz w:val="22"/>
        </w:rPr>
        <w:t>Regras:</w:t>
      </w:r>
    </w:p>
    <w:p>
      <w:pPr>
        <w:pStyle w:val="ListBullet"/>
        <w:spacing w:before="20" w:after="40"/>
      </w:pPr>
      <w:r>
        <w:rPr>
          <w:rFonts w:ascii="Calibri" w:hAnsi="Calibri"/>
          <w:b w:val="0"/>
          <w:i w:val="0"/>
          <w:sz w:val="22"/>
        </w:rPr>
        <w:t>A versão fica registrada no cabeçalho do documento e na tabela de histórico de revisões.</w:t>
      </w:r>
    </w:p>
    <w:p>
      <w:pPr>
        <w:pStyle w:val="ListBullet"/>
        <w:spacing w:before="20" w:after="40"/>
      </w:pPr>
      <w:r>
        <w:rPr>
          <w:rFonts w:ascii="Calibri" w:hAnsi="Calibri"/>
          <w:b w:val="0"/>
          <w:i w:val="0"/>
          <w:sz w:val="22"/>
        </w:rPr>
        <w:t>A data associada a cada versão é registrada no histórico de revisões, podendo refletir a data real de formalização do conteúdo.</w:t>
      </w:r>
    </w:p>
    <w:p>
      <w:pPr>
        <w:pStyle w:val="Heading1"/>
        <w:keepNext/>
        <w:keepLines/>
        <w:pBdr>
          <w:bottom w:val="single" w:sz="4" w:space="2" w:color="D6E4F0"/>
        </w:pBdr>
      </w:pPr>
      <w:r>
        <w:t>7. Situação (estado do documento)</w:t>
      </w:r>
    </w:p>
    <w:p>
      <w:pPr>
        <w:spacing w:before="0" w:after="120"/>
      </w:pPr>
      <w:r>
        <w:rPr>
          <w:rFonts w:ascii="Calibri" w:hAnsi="Calibri"/>
          <w:b w:val="0"/>
          <w:i w:val="0"/>
          <w:sz w:val="22"/>
        </w:rPr>
        <w:t>Todo documento tem uma situação, registrada quando aplicável:</w:t>
      </w:r>
    </w:p>
    <w:tbl>
      <w:tblPr>
        <w:tblW w:type="auto" w:w="0"/>
        <w:tblLook w:firstColumn="1" w:firstRow="1" w:lastColumn="0" w:lastRow="0" w:noHBand="0" w:noVBand="1" w:val="04A0"/>
        <w:tblBorders>
          <w:top w:val="single" w:sz="4" w:space="0" w:color="003366"/>
          <w:left w:val="single" w:sz="4" w:space="0" w:color="003366"/>
          <w:bottom w:val="single" w:sz="4" w:space="0" w:color="003366"/>
          <w:right w:val="single" w:sz="4" w:space="0" w:color="003366"/>
          <w:insideH w:val="single" w:sz="4" w:space="0" w:color="003366"/>
          <w:insideV w:val="single" w:sz="4" w:space="0" w:color="003366"/>
        </w:tblBorders>
      </w:tblPr>
      <w:tblGrid>
        <w:gridCol w:w="4451"/>
        <w:gridCol w:w="4451"/>
      </w:tblGrid>
      <w:tr>
        <w:trPr>
          <w:cantSplit w:val="1"/>
        </w:trPr>
        <w:tc>
          <w:tcPr>
            <w:tcW w:type="dxa" w:w="4451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003366"/>
          </w:tcPr>
          <w:p>
            <w:pPr>
              <w:spacing w:before="40" w:after="40"/>
            </w:pPr>
            <w:r>
              <w:rPr>
                <w:rFonts w:ascii="Calibri" w:hAnsi="Calibri"/>
                <w:b/>
                <w:i w:val="0"/>
                <w:color w:val="FFFFFF"/>
                <w:sz w:val="20"/>
              </w:rPr>
              <w:t>Situação</w:t>
            </w:r>
          </w:p>
        </w:tc>
        <w:tc>
          <w:tcPr>
            <w:tcW w:type="dxa" w:w="4451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003366"/>
          </w:tcPr>
          <w:p>
            <w:pPr>
              <w:spacing w:before="40" w:after="40"/>
            </w:pPr>
            <w:r>
              <w:rPr>
                <w:rFonts w:ascii="Calibri" w:hAnsi="Calibri"/>
                <w:b/>
                <w:i w:val="0"/>
                <w:color w:val="FFFFFF"/>
                <w:sz w:val="20"/>
              </w:rPr>
              <w:t>Significado</w:t>
            </w:r>
          </w:p>
        </w:tc>
      </w:tr>
      <w:tr>
        <w:trPr>
          <w:cantSplit w:val="1"/>
        </w:trPr>
        <w:tc>
          <w:tcPr>
            <w:tcW w:type="dxa" w:w="4451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/>
                <w:i w:val="0"/>
                <w:sz w:val="20"/>
              </w:rPr>
              <w:t>Rascunho</w:t>
            </w:r>
          </w:p>
        </w:tc>
        <w:tc>
          <w:tcPr>
            <w:tcW w:type="dxa" w:w="4451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 xml:space="preserve">Em elaboração; versão </w:t>
            </w:r>
            <w:r>
              <w:rPr>
                <w:rFonts w:ascii="Courier New" w:hAnsi="Courier New"/>
                <w:b w:val="0"/>
                <w:i w:val="0"/>
                <w:color w:val="333333"/>
                <w:sz w:val="20"/>
              </w:rPr>
              <w:t>0.x</w:t>
            </w:r>
            <w:r>
              <w:rPr>
                <w:rFonts w:ascii="Calibri" w:hAnsi="Calibri"/>
                <w:b w:val="0"/>
                <w:i w:val="0"/>
                <w:sz w:val="20"/>
              </w:rPr>
              <w:t>.</w:t>
            </w:r>
          </w:p>
        </w:tc>
      </w:tr>
      <w:tr>
        <w:trPr>
          <w:cantSplit w:val="1"/>
        </w:trPr>
        <w:tc>
          <w:tcPr>
            <w:tcW w:type="dxa" w:w="4451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/>
                <w:i w:val="0"/>
                <w:sz w:val="20"/>
              </w:rPr>
              <w:t>Em revisão</w:t>
            </w:r>
          </w:p>
        </w:tc>
        <w:tc>
          <w:tcPr>
            <w:tcW w:type="dxa" w:w="4451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Submetido à revisão/aprovação.</w:t>
            </w:r>
          </w:p>
        </w:tc>
      </w:tr>
      <w:tr>
        <w:trPr>
          <w:cantSplit w:val="1"/>
        </w:trPr>
        <w:tc>
          <w:tcPr>
            <w:tcW w:type="dxa" w:w="4451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/>
                <w:i w:val="0"/>
                <w:sz w:val="20"/>
              </w:rPr>
              <w:t>Aprovado</w:t>
            </w:r>
          </w:p>
        </w:tc>
        <w:tc>
          <w:tcPr>
            <w:tcW w:type="dxa" w:w="4451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 xml:space="preserve">Oficializado; versão </w:t>
            </w:r>
            <w:r>
              <w:rPr>
                <w:rFonts w:ascii="Courier New" w:hAnsi="Courier New"/>
                <w:b w:val="0"/>
                <w:i w:val="0"/>
                <w:color w:val="333333"/>
                <w:sz w:val="20"/>
              </w:rPr>
              <w:t>1.0</w:t>
            </w:r>
            <w:r>
              <w:rPr>
                <w:rFonts w:ascii="Calibri" w:hAnsi="Calibri"/>
                <w:b w:val="0"/>
                <w:i w:val="0"/>
                <w:sz w:val="20"/>
              </w:rPr>
              <w:t xml:space="preserve"> ou superior.</w:t>
            </w:r>
          </w:p>
        </w:tc>
      </w:tr>
      <w:tr>
        <w:trPr>
          <w:cantSplit w:val="1"/>
        </w:trPr>
        <w:tc>
          <w:tcPr>
            <w:tcW w:type="dxa" w:w="4451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/>
                <w:i w:val="0"/>
                <w:sz w:val="20"/>
              </w:rPr>
              <w:t>Obsoleto</w:t>
            </w:r>
          </w:p>
        </w:tc>
        <w:tc>
          <w:tcPr>
            <w:tcW w:type="dxa" w:w="4451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Substituído por versão mais recente ou descontinuado.</w:t>
            </w:r>
          </w:p>
        </w:tc>
      </w:tr>
    </w:tbl>
    <w:p>
      <w:pPr>
        <w:spacing w:before="0" w:after="160"/>
      </w:pPr>
    </w:p>
    <w:p>
      <w:pPr>
        <w:pStyle w:val="Heading1"/>
        <w:keepNext/>
        <w:keepLines/>
        <w:pBdr>
          <w:bottom w:val="single" w:sz="4" w:space="2" w:color="D6E4F0"/>
        </w:pBdr>
      </w:pPr>
      <w:r>
        <w:t>8. Estrutura mínima de cabeçalho</w:t>
      </w:r>
    </w:p>
    <w:p>
      <w:pPr>
        <w:spacing w:before="0" w:after="120"/>
      </w:pPr>
      <w:r>
        <w:rPr>
          <w:rFonts w:ascii="Calibri" w:hAnsi="Calibri"/>
          <w:b w:val="0"/>
          <w:i w:val="0"/>
          <w:sz w:val="22"/>
        </w:rPr>
        <w:t xml:space="preserve">Todo documento da Timeware inicia com um cabeçalho de identificação contendo, no mínimo: código do documento, versão, data, organização, aprovação e processo MPS-SW relacionado. Documentos de definição encerram com uma tabela de </w:t>
      </w:r>
      <w:r>
        <w:rPr>
          <w:rFonts w:ascii="Calibri" w:hAnsi="Calibri"/>
          <w:b/>
          <w:i w:val="0"/>
          <w:sz w:val="22"/>
        </w:rPr>
        <w:t>Histórico de revisões</w:t>
      </w:r>
      <w:r>
        <w:rPr>
          <w:rFonts w:ascii="Calibri" w:hAnsi="Calibri"/>
          <w:b w:val="0"/>
          <w:i w:val="0"/>
          <w:sz w:val="22"/>
        </w:rPr>
        <w:t xml:space="preserve"> (versão, data, autor, descrição).</w:t>
      </w:r>
    </w:p>
    <w:p>
      <w:pPr>
        <w:pStyle w:val="Heading1"/>
        <w:keepNext/>
        <w:keepLines/>
        <w:pBdr>
          <w:bottom w:val="single" w:sz="4" w:space="2" w:color="D6E4F0"/>
        </w:pBdr>
      </w:pPr>
      <w:r>
        <w:t>9. Documentos relacionados</w:t>
      </w:r>
    </w:p>
    <w:p>
      <w:pPr>
        <w:pStyle w:val="ListBullet"/>
        <w:spacing w:before="20" w:after="40"/>
      </w:pPr>
      <w:r>
        <w:rPr>
          <w:rFonts w:ascii="Calibri" w:hAnsi="Calibri"/>
          <w:b w:val="0"/>
          <w:i w:val="0"/>
          <w:sz w:val="22"/>
        </w:rPr>
        <w:t>POL-ORG-001 — Política Organizacional de Processos</w:t>
      </w:r>
    </w:p>
    <w:p>
      <w:pPr>
        <w:pStyle w:val="ListBullet"/>
        <w:spacing w:before="20" w:after="40"/>
      </w:pPr>
      <w:r>
        <w:rPr>
          <w:rFonts w:ascii="Calibri" w:hAnsi="Calibri"/>
          <w:b w:val="0"/>
          <w:i w:val="0"/>
          <w:sz w:val="22"/>
        </w:rPr>
        <w:t>Plano de Gerência de Configuração (GCO)</w:t>
      </w:r>
    </w:p>
    <w:p>
      <w:pPr>
        <w:pStyle w:val="ListBullet"/>
        <w:spacing w:before="20" w:after="40"/>
      </w:pPr>
      <w:r>
        <w:rPr>
          <w:rFonts w:ascii="Calibri" w:hAnsi="Calibri"/>
          <w:b w:val="0"/>
          <w:i w:val="0"/>
          <w:sz w:val="22"/>
        </w:rPr>
        <w:t>Mapa de Artefatos MPS-SW Nível C</w:t>
      </w:r>
    </w:p>
    <w:p>
      <w:pPr>
        <w:pStyle w:val="Heading1"/>
        <w:keepNext/>
        <w:keepLines/>
        <w:pBdr>
          <w:bottom w:val="single" w:sz="4" w:space="2" w:color="D6E4F0"/>
        </w:pBdr>
      </w:pPr>
      <w:r>
        <w:t>10. Rastreabilidade e instrução para auditoria</w:t>
      </w:r>
    </w:p>
    <w:p>
      <w:pPr>
        <w:spacing w:before="0" w:after="120"/>
      </w:pPr>
      <w:r>
        <w:rPr>
          <w:rFonts w:ascii="Calibri" w:hAnsi="Calibri"/>
          <w:b w:val="0"/>
          <w:i/>
          <w:sz w:val="22"/>
        </w:rPr>
        <w:t>Esta seção é destinada à equipe de avaliação e relaciona o conteúdo deste documento aos resultados esperados do modelo de referência MR-MPS-SW. No corpo, o conteúdo é descrito na linguagem operacional da Timeware; o quadro abaixo indica onde cada resultado é atendido.</w:t>
      </w:r>
    </w:p>
    <w:p>
      <w:pPr>
        <w:spacing w:before="0" w:after="120"/>
      </w:pPr>
      <w:r>
        <w:rPr>
          <w:rFonts w:ascii="Calibri" w:hAnsi="Calibri"/>
          <w:b w:val="0"/>
          <w:i w:val="0"/>
          <w:sz w:val="22"/>
        </w:rPr>
        <w:t xml:space="preserve">Este documento corresponde aos resultados </w:t>
      </w:r>
      <w:r>
        <w:rPr>
          <w:rFonts w:ascii="Calibri" w:hAnsi="Calibri"/>
          <w:b/>
          <w:i w:val="0"/>
          <w:sz w:val="22"/>
        </w:rPr>
        <w:t>GCO 1</w:t>
      </w:r>
      <w:r>
        <w:rPr>
          <w:rFonts w:ascii="Calibri" w:hAnsi="Calibri"/>
          <w:b w:val="0"/>
          <w:i w:val="0"/>
          <w:sz w:val="22"/>
        </w:rPr>
        <w:t xml:space="preserve"> e </w:t>
      </w:r>
      <w:r>
        <w:rPr>
          <w:rFonts w:ascii="Calibri" w:hAnsi="Calibri"/>
          <w:b/>
          <w:i w:val="0"/>
          <w:sz w:val="22"/>
        </w:rPr>
        <w:t>GCO 4</w:t>
      </w:r>
      <w:r>
        <w:rPr>
          <w:rFonts w:ascii="Calibri" w:hAnsi="Calibri"/>
          <w:b w:val="0"/>
          <w:i w:val="0"/>
          <w:sz w:val="22"/>
        </w:rPr>
        <w:t xml:space="preserve"> do processo </w:t>
      </w:r>
      <w:r>
        <w:rPr>
          <w:rFonts w:ascii="Calibri" w:hAnsi="Calibri"/>
          <w:b/>
          <w:i w:val="0"/>
          <w:sz w:val="22"/>
        </w:rPr>
        <w:t>Gerência de Configuração (GCO)</w:t>
      </w:r>
      <w:r>
        <w:rPr>
          <w:rFonts w:ascii="Calibri" w:hAnsi="Calibri"/>
          <w:b w:val="0"/>
          <w:i w:val="0"/>
          <w:sz w:val="22"/>
        </w:rPr>
        <w:t xml:space="preserve"> do MR-MPS-SW:2024.</w:t>
      </w:r>
    </w:p>
    <w:tbl>
      <w:tblPr>
        <w:tblW w:type="auto" w:w="0"/>
        <w:tblLook w:firstColumn="1" w:firstRow="1" w:lastColumn="0" w:lastRow="0" w:noHBand="0" w:noVBand="1" w:val="04A0"/>
        <w:tblBorders>
          <w:top w:val="single" w:sz="4" w:space="0" w:color="003366"/>
          <w:left w:val="single" w:sz="4" w:space="0" w:color="003366"/>
          <w:bottom w:val="single" w:sz="4" w:space="0" w:color="003366"/>
          <w:right w:val="single" w:sz="4" w:space="0" w:color="003366"/>
          <w:insideH w:val="single" w:sz="4" w:space="0" w:color="003366"/>
          <w:insideV w:val="single" w:sz="4" w:space="0" w:color="003366"/>
        </w:tblBorders>
      </w:tblPr>
      <w:tblGrid>
        <w:gridCol w:w="4451"/>
        <w:gridCol w:w="4451"/>
      </w:tblGrid>
      <w:tr>
        <w:trPr>
          <w:cantSplit w:val="1"/>
        </w:trPr>
        <w:tc>
          <w:tcPr>
            <w:tcW w:type="dxa" w:w="4451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003366"/>
          </w:tcPr>
          <w:p>
            <w:pPr>
              <w:spacing w:before="40" w:after="40"/>
            </w:pPr>
            <w:r>
              <w:rPr>
                <w:rFonts w:ascii="Calibri" w:hAnsi="Calibri"/>
                <w:b/>
                <w:i w:val="0"/>
                <w:color w:val="FFFFFF"/>
                <w:sz w:val="20"/>
              </w:rPr>
              <w:t>Resultado</w:t>
            </w:r>
          </w:p>
        </w:tc>
        <w:tc>
          <w:tcPr>
            <w:tcW w:type="dxa" w:w="4451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003366"/>
          </w:tcPr>
          <w:p>
            <w:pPr>
              <w:spacing w:before="40" w:after="40"/>
            </w:pPr>
            <w:r>
              <w:rPr>
                <w:rFonts w:ascii="Calibri" w:hAnsi="Calibri"/>
                <w:b/>
                <w:i w:val="0"/>
                <w:color w:val="FFFFFF"/>
                <w:sz w:val="20"/>
              </w:rPr>
              <w:t>Onde é atendido neste documento</w:t>
            </w:r>
          </w:p>
        </w:tc>
      </w:tr>
      <w:tr>
        <w:trPr>
          <w:cantSplit w:val="1"/>
        </w:trPr>
        <w:tc>
          <w:tcPr>
            <w:tcW w:type="dxa" w:w="4451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GCO 1 — itens de configuração identificados (codificação/nomenclatura padronizada)</w:t>
            </w:r>
          </w:p>
        </w:tc>
        <w:tc>
          <w:tcPr>
            <w:tcW w:type="dxa" w:w="4451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Seções 2, 3, 4 e 5</w:t>
            </w:r>
          </w:p>
        </w:tc>
      </w:tr>
      <w:tr>
        <w:trPr>
          <w:cantSplit w:val="1"/>
        </w:trPr>
        <w:tc>
          <w:tcPr>
            <w:tcW w:type="dxa" w:w="4451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GCO 4 — manutenção da identificação e do versionamento dos itens</w:t>
            </w:r>
          </w:p>
        </w:tc>
        <w:tc>
          <w:tcPr>
            <w:tcW w:type="dxa" w:w="4451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Seções 6 e 7</w:t>
            </w:r>
          </w:p>
        </w:tc>
      </w:tr>
    </w:tbl>
    <w:p>
      <w:pPr>
        <w:spacing w:before="0" w:after="160"/>
      </w:pPr>
    </w:p>
    <w:p>
      <w:pPr>
        <w:pStyle w:val="Heading1"/>
        <w:keepNext/>
        <w:keepLines/>
        <w:pBdr>
          <w:bottom w:val="single" w:sz="4" w:space="2" w:color="D6E4F0"/>
        </w:pBdr>
      </w:pPr>
      <w:r>
        <w:t>Histórico de revisões</w:t>
      </w:r>
    </w:p>
    <w:tbl>
      <w:tblPr>
        <w:tblW w:type="auto" w:w="0"/>
        <w:tblLook w:firstColumn="1" w:firstRow="1" w:lastColumn="0" w:lastRow="0" w:noHBand="0" w:noVBand="1" w:val="04A0"/>
        <w:tblBorders>
          <w:top w:val="single" w:sz="4" w:space="0" w:color="AAAAAA"/>
          <w:left w:val="single" w:sz="4" w:space="0" w:color="AAAAAA"/>
          <w:bottom w:val="single" w:sz="4" w:space="0" w:color="AAAAAA"/>
          <w:right w:val="single" w:sz="4" w:space="0" w:color="AAAAAA"/>
          <w:insideH w:val="single" w:sz="4" w:space="0" w:color="AAAAAA"/>
          <w:insideV w:val="single" w:sz="4" w:space="0" w:color="AAAAAA"/>
        </w:tblBorders>
      </w:tblPr>
      <w:tblGrid>
        <w:gridCol w:w="2225"/>
        <w:gridCol w:w="2225"/>
        <w:gridCol w:w="2225"/>
        <w:gridCol w:w="2225"/>
      </w:tblGrid>
      <w:tr>
        <w:trPr>
          <w:cantSplit w:val="1"/>
        </w:trPr>
        <w:tc>
          <w:tcPr>
            <w:tcW w:type="dxa" w:w="2225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D6E4F0"/>
          </w:tcPr>
          <w:p>
            <w:pPr>
              <w:spacing w:before="40" w:after="40"/>
            </w:pPr>
            <w:r>
              <w:rPr>
                <w:rFonts w:ascii="Calibri" w:hAnsi="Calibri"/>
                <w:b/>
                <w:i w:val="0"/>
                <w:sz w:val="20"/>
              </w:rPr>
              <w:t>Versão</w:t>
            </w:r>
          </w:p>
        </w:tc>
        <w:tc>
          <w:tcPr>
            <w:tcW w:type="dxa" w:w="2225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D6E4F0"/>
          </w:tcPr>
          <w:p>
            <w:pPr>
              <w:spacing w:before="40" w:after="40"/>
            </w:pPr>
            <w:r>
              <w:rPr>
                <w:rFonts w:ascii="Calibri" w:hAnsi="Calibri"/>
                <w:b/>
                <w:i w:val="0"/>
                <w:sz w:val="20"/>
              </w:rPr>
              <w:t>Data</w:t>
            </w:r>
          </w:p>
        </w:tc>
        <w:tc>
          <w:tcPr>
            <w:tcW w:type="dxa" w:w="2225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D6E4F0"/>
          </w:tcPr>
          <w:p>
            <w:pPr>
              <w:spacing w:before="40" w:after="40"/>
            </w:pPr>
            <w:r>
              <w:rPr>
                <w:rFonts w:ascii="Calibri" w:hAnsi="Calibri"/>
                <w:b/>
                <w:i w:val="0"/>
                <w:sz w:val="20"/>
              </w:rPr>
              <w:t>Autor</w:t>
            </w:r>
          </w:p>
        </w:tc>
        <w:tc>
          <w:tcPr>
            <w:tcW w:type="dxa" w:w="2225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D6E4F0"/>
          </w:tcPr>
          <w:p>
            <w:pPr>
              <w:spacing w:before="40" w:after="40"/>
            </w:pPr>
            <w:r>
              <w:rPr>
                <w:rFonts w:ascii="Calibri" w:hAnsi="Calibri"/>
                <w:b/>
                <w:i w:val="0"/>
                <w:sz w:val="20"/>
              </w:rPr>
              <w:t>Descrição</w:t>
            </w:r>
          </w:p>
        </w:tc>
      </w:tr>
      <w:tr>
        <w:trPr>
          <w:cantSplit w:val="1"/>
        </w:trPr>
        <w:tc>
          <w:tcPr>
            <w:tcW w:type="dxa" w:w="2225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F0F4F8"/>
          </w:tcPr>
          <w:p>
            <w:pPr>
              <w:spacing w:before="40" w:after="40"/>
            </w:pPr>
            <w:r>
              <w:rPr>
                <w:rFonts w:ascii="Calibri" w:hAnsi="Calibri"/>
                <w:b/>
                <w:i w:val="0"/>
                <w:sz w:val="20"/>
              </w:rPr>
              <w:t>1.2</w:t>
            </w:r>
          </w:p>
        </w:tc>
        <w:tc>
          <w:tcPr>
            <w:tcW w:type="dxa" w:w="2225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15/06/2026</w:t>
            </w:r>
          </w:p>
        </w:tc>
        <w:tc>
          <w:tcPr>
            <w:tcW w:type="dxa" w:w="2225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Time de Melhoria Contínua</w:t>
            </w:r>
          </w:p>
        </w:tc>
        <w:tc>
          <w:tcPr>
            <w:tcW w:type="dxa" w:w="2225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Campo "Responsável" adicionado ao cabeçalho: Silvio Baroni</w:t>
            </w:r>
          </w:p>
        </w:tc>
      </w:tr>
      <w:tr>
        <w:trPr>
          <w:cantSplit w:val="1"/>
        </w:trPr>
        <w:tc>
          <w:tcPr>
            <w:tcW w:type="dxa" w:w="2225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F0F4F8"/>
          </w:tcPr>
          <w:p>
            <w:pPr>
              <w:spacing w:before="40" w:after="40"/>
            </w:pPr>
            <w:r>
              <w:rPr>
                <w:rFonts w:ascii="Calibri" w:hAnsi="Calibri"/>
                <w:b/>
                <w:i w:val="0"/>
                <w:sz w:val="20"/>
              </w:rPr>
              <w:t>1.0</w:t>
            </w:r>
          </w:p>
        </w:tc>
        <w:tc>
          <w:tcPr>
            <w:tcW w:type="dxa" w:w="2225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14/07/2025</w:t>
            </w:r>
          </w:p>
        </w:tc>
        <w:tc>
          <w:tcPr>
            <w:tcW w:type="dxa" w:w="2225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Time de Melhoria Contínua</w:t>
            </w:r>
          </w:p>
        </w:tc>
        <w:tc>
          <w:tcPr>
            <w:tcW w:type="dxa" w:w="2225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Definição da convenção de nomenclatura e versionamento</w:t>
            </w:r>
          </w:p>
        </w:tc>
      </w:tr>
      <w:tr>
        <w:trPr>
          <w:cantSplit w:val="1"/>
        </w:trPr>
        <w:tc>
          <w:tcPr>
            <w:tcW w:type="dxa" w:w="2225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F0F4F8"/>
          </w:tcPr>
          <w:p>
            <w:pPr>
              <w:spacing w:before="40" w:after="40"/>
            </w:pPr>
            <w:r>
              <w:rPr>
                <w:rFonts w:ascii="Calibri" w:hAnsi="Calibri"/>
                <w:b/>
                <w:i w:val="0"/>
                <w:sz w:val="20"/>
              </w:rPr>
              <w:t>1.1</w:t>
            </w:r>
          </w:p>
        </w:tc>
        <w:tc>
          <w:tcPr>
            <w:tcW w:type="dxa" w:w="2225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19/05/2026</w:t>
            </w:r>
          </w:p>
        </w:tc>
        <w:tc>
          <w:tcPr>
            <w:tcW w:type="dxa" w:w="2225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Time de Melhoria Contínua</w:t>
            </w:r>
          </w:p>
        </w:tc>
        <w:tc>
          <w:tcPr>
            <w:tcW w:type="dxa" w:w="2225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Siglas com leitura organizacional e coluna de correspondência ao modelo (instrução para auditoria)</w:t>
            </w:r>
          </w:p>
        </w:tc>
      </w:tr>
    </w:tbl>
    <w:p>
      <w:pPr>
        <w:spacing w:before="0" w:after="160"/>
      </w:pPr>
    </w:p>
    <w:sectPr w:rsidR="00FC693F" w:rsidRPr="0006063C" w:rsidSect="00034616">
      <w:headerReference w:type="default" r:id="rId9"/>
      <w:headerReference w:type="first" r:id="rId10"/>
      <w:footerReference w:type="default" r:id="rId11"/>
      <w:footerReference w:type="first" r:id="rId12"/>
      <w:pgSz w:w="11906" w:h="16838"/>
      <w:pgMar w:top="1587" w:right="1417" w:bottom="1417" w:left="1587" w:header="720" w:footer="720" w:gutter="0"/>
      <w:cols w:space="720"/>
      <w:titlePg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tabs>
        <w:tab w:val="right" w:pos="8901"/>
      </w:tabs>
      <w:pBdr>
        <w:top w:val="single" w:sz="4" w:space="4" w:color="003366"/>
      </w:pBdr>
      <w:spacing w:before="80" w:after="0"/>
    </w:pPr>
    <w:r>
      <w:rPr>
        <w:rFonts w:ascii="Calibri" w:hAnsi="Calibri"/>
        <w:color w:val="555555"/>
        <w:sz w:val="16"/>
      </w:rPr>
      <w:t>v1.2  ·  19/05/2026</w:t>
    </w:r>
    <w:r>
      <w:tab/>
    </w:r>
    <w:r>
      <w:rPr>
        <w:rFonts w:ascii="Calibri" w:hAnsi="Calibri"/>
        <w:color w:val="555555"/>
        <w:sz w:val="16"/>
      </w:rPr>
      <w:t xml:space="preserve">Página </w:t>
    </w:r>
    <w:r>
      <w:rPr>
        <w:rFonts w:ascii="Calibri" w:hAnsi="Calibri"/>
        <w:sz w:val="16"/>
      </w:rPr>
      <w:fldChar w:fldCharType="begin"/>
      <w:instrText xml:space="preserve"> PAGE </w:instrText>
      <w:fldChar w:fldCharType="end"/>
    </w:r>
    <w:r>
      <w:rPr>
        <w:rFonts w:ascii="Calibri" w:hAnsi="Calibri"/>
        <w:color w:val="555555"/>
        <w:sz w:val="16"/>
      </w:rPr>
      <w:t xml:space="preserve"> de </w:t>
    </w:r>
    <w:r>
      <w:rPr>
        <w:rFonts w:ascii="Calibri" w:hAnsi="Calibri"/>
        <w:sz w:val="16"/>
      </w:rPr>
      <w:fldChar w:fldCharType="begin"/>
      <w:instrText xml:space="preserve"> NUMPAGES </w:instrText>
      <w:fldChar w:fldCharType="end"/>
    </w:r>
  </w:p>
</w:ftr>
</file>

<file path=word/footer2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tabs>
        <w:tab w:val="right" w:pos="8901"/>
      </w:tabs>
      <w:pBdr>
        <w:top w:val="single" w:sz="4" w:space="4" w:color="003366"/>
      </w:pBdr>
      <w:spacing w:before="80" w:after="0"/>
    </w:pPr>
    <w:r>
      <w:rPr>
        <w:rFonts w:ascii="Calibri" w:hAnsi="Calibri"/>
        <w:color w:val="555555"/>
        <w:sz w:val="16"/>
      </w:rPr>
      <w:t>v1.2  ·  19/05/2026</w:t>
    </w:r>
    <w:r>
      <w:tab/>
    </w:r>
    <w:r>
      <w:rPr>
        <w:rFonts w:ascii="Calibri" w:hAnsi="Calibri"/>
        <w:color w:val="555555"/>
        <w:sz w:val="16"/>
      </w:rPr>
      <w:t xml:space="preserve">Página </w:t>
    </w:r>
    <w:r>
      <w:rPr>
        <w:rFonts w:ascii="Calibri" w:hAnsi="Calibri"/>
        <w:sz w:val="16"/>
      </w:rPr>
      <w:fldChar w:fldCharType="begin"/>
      <w:instrText xml:space="preserve"> PAGE </w:instrText>
      <w:fldChar w:fldCharType="end"/>
    </w:r>
    <w:r>
      <w:rPr>
        <w:rFonts w:ascii="Calibri" w:hAnsi="Calibri"/>
        <w:color w:val="555555"/>
        <w:sz w:val="16"/>
      </w:rPr>
      <w:t xml:space="preserve"> de </w:t>
    </w:r>
    <w:r>
      <w:rPr>
        <w:rFonts w:ascii="Calibri" w:hAnsi="Calibri"/>
        <w:sz w:val="16"/>
      </w:rPr>
      <w:fldChar w:fldCharType="begin"/>
      <w:instrText xml:space="preserve"> NUMPAGES </w:instrText>
      <w:fldChar w:fldCharType="end"/>
    </w:r>
  </w:p>
</w:ftr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  <w:tabs>
        <w:tab w:val="right" w:pos="8901"/>
      </w:tabs>
      <w:pBdr>
        <w:bottom w:val="single" w:sz="8" w:space="4" w:color="003366"/>
      </w:pBdr>
      <w:spacing w:before="0" w:after="80"/>
    </w:pPr>
    <w:r>
      <w:rPr>
        <w:rFonts w:ascii="Calibri" w:hAnsi="Calibri"/>
        <w:b/>
        <w:color w:val="003366"/>
        <w:sz w:val="18"/>
      </w:rPr>
      <w:t>TIMEWARE</w:t>
    </w:r>
    <w:r>
      <w:rPr>
        <w:rFonts w:ascii="Calibri" w:hAnsi="Calibri"/>
        <w:color w:val="555555"/>
        <w:sz w:val="18"/>
      </w:rPr>
      <w:t xml:space="preserve">   ·   CONV-ORG-001</w:t>
    </w:r>
    <w:r>
      <w:tab/>
    </w:r>
    <w:r>
      <w:rPr>
        <w:rFonts w:ascii="Calibri" w:hAnsi="Calibri"/>
        <w:color w:val="555555"/>
        <w:sz w:val="18"/>
      </w:rPr>
      <w:t>Governança Organizacional</w:t>
    </w:r>
  </w:p>
</w:hdr>
</file>

<file path=word/header2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</w:pPr>
  </w:p>
</w:hd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after="120" w:lineRule="auto" w:line="276"/>
    </w:pPr>
    <w:rPr>
      <w:rFonts w:ascii="Calibri" w:hAnsi="Calibri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360" w:after="120"/>
      <w:outlineLvl w:val="0"/>
    </w:pPr>
    <w:rPr>
      <w:rFonts w:asciiTheme="majorHAnsi" w:eastAsiaTheme="majorEastAsia" w:hAnsiTheme="majorHAnsi" w:cstheme="majorBidi" w:ascii="Calibri" w:hAnsi="Calibri"/>
      <w:b/>
      <w:bCs/>
      <w:color w:val="003366"/>
      <w:sz w:val="26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40" w:after="80"/>
      <w:outlineLvl w:val="1"/>
    </w:pPr>
    <w:rPr>
      <w:rFonts w:asciiTheme="majorHAnsi" w:eastAsiaTheme="majorEastAsia" w:hAnsiTheme="majorHAnsi" w:cstheme="majorBidi" w:ascii="Calibri" w:hAnsi="Calibri"/>
      <w:b/>
      <w:bCs/>
      <w:color w:val="1A5276"/>
      <w:sz w:val="22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160" w:after="40"/>
      <w:outlineLvl w:val="2"/>
    </w:pPr>
    <w:rPr>
      <w:rFonts w:asciiTheme="majorHAnsi" w:eastAsiaTheme="majorEastAsia" w:hAnsiTheme="majorHAnsi" w:cstheme="majorBidi" w:ascii="Calibri" w:hAnsi="Calibri"/>
      <w:b/>
      <w:bCs/>
      <w:i/>
      <w:color w:val="1A5276"/>
      <w:sz w:val="22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eader" Target="header1.xml"/><Relationship Id="rId10" Type="http://schemas.openxmlformats.org/officeDocument/2006/relationships/header" Target="header2.xml"/><Relationship Id="rId11" Type="http://schemas.openxmlformats.org/officeDocument/2006/relationships/footer" Target="footer1.xml"/><Relationship Id="rId12" Type="http://schemas.openxmlformats.org/officeDocument/2006/relationships/footer" Target="footer2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