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AUDITORIA DE GARANTIA DA QUALIDADE ORGANIZACIONAL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GQA-ORG-001   ·   Versão 1.2   ·   13/06/2026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GQA-ORG-001 — Auditoria de GQA Organizacional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Jenifer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(evidência organizacional — GPC 3, GPC 6, GPC 7); cobre também a verificação organizacional de AQU e OSW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auditoria organizacional de garantia da qualidade realizada ao final do ciclo de implantação MPS-SW Nível C, verificando a aderência dos processos organizacionais (ativos de processo, medição, gerência de processos, capacitação, gerência de configuração) em relação às definições estabelecidas.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auditoria corresponde ao </w:t>
      </w:r>
      <w:r>
        <w:rPr>
          <w:rFonts w:ascii="Courier New" w:hAnsi="Courier New"/>
          <w:b w:val="0"/>
          <w:i w:val="0"/>
          <w:color w:val="333333"/>
          <w:sz w:val="20"/>
        </w:rPr>
        <w:t>CHK-Auditoria Organizacional</w:t>
      </w:r>
      <w:r>
        <w:rPr>
          <w:rFonts w:ascii="Calibri" w:hAnsi="Calibri"/>
          <w:b w:val="0"/>
          <w:i w:val="0"/>
          <w:sz w:val="22"/>
        </w:rPr>
        <w:t xml:space="preserve"> previsto em EST-GPC-001 §9 e verifica os processos de apoio organizacional — complementar às auditorias de projeto (GQA-PROFARMA01-001, GQA-GASMIG02-001).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e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 auditado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auditados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(Gerência de Processos), MED (Medição), GCO organizacional, CAP (Capacitação), GDE (Gerência de Decisões), AQU (Aquisição), OSW (Gerência Organizacional de Software)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 da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 — independente das equipes que produziram os ativos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por área de processo</w:t>
      </w:r>
    </w:p>
    <w:p>
      <w:pPr>
        <w:pStyle w:val="Heading2"/>
        <w:keepNext/>
        <w:keepLines/>
      </w:pPr>
      <w:r>
        <w:t>3.1 Gerência de Processos (GPC)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Inventário de ativos de processo definido e atualizado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§2 v1.6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Inventário completo com todos os processos, planos, guias e templates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Processo-padrão organizacional documentado (PRO-GPC-001)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v2.3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 entradas/saídas (§3) e rastreabilidade GPC 1–12 (§11)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GQA documentada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EST-GPC-001 v1.3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Cobre verificação por marcos e por amostragem; escalonamento definido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oportunidades de melhoria mantido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REG-GPC-001 v1.0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 OMs registradas com origem, prioridade, status e 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Melhorias priorizadas e planejadas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REG-GPC-001 §4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OM-06 implementada; 7 planejadas; 2 em análise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Ambientes-padrão de trabalho estabelecidos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PLA-GPC-001 §3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Jira, Azure DevOps, Pipelines, Test Plans, Confluence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implantados nas equipes e acompanhados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GQA-PROFARMA01-001; GQA-GASMIG02-001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nos 3 projetos do ciclo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Efetividade de melhoria avaliada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REG-GPC-001 §6; LI-GASMIG02-001 §5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OM-06 (checklist pré-engajamento) avaliada e confirmada efetiva na OS-002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Resultado GPC:</w:t>
      </w:r>
      <w:r>
        <w:rPr>
          <w:rFonts w:ascii="Calibri" w:hAnsi="Calibri"/>
          <w:b w:val="0"/>
          <w:i w:val="0"/>
          <w:sz w:val="22"/>
        </w:rPr>
        <w:t xml:space="preserve"> Conforme — 8/8 itens.</w:t>
      </w:r>
    </w:p>
    <w:p>
      <w:pPr>
        <w:pStyle w:val="Heading2"/>
        <w:keepNext/>
        <w:keepLines/>
      </w:pPr>
      <w:r>
        <w:t>3.2 Medição (MED)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Objetivos de medição derivados dos objetivos de negócio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§2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OM1–OM4 rastreados ao objetivo de crescimento com qualidade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Catálogo de medidas com definições operacionais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§3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M1–M7 com fórmula, fonte e frequência definidos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Procedimentos de coleta e armazenamento executados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MED-PROFARMA01-001; MED-GASMIG02-001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Medidas coletadas em todos os projetos do ciclo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organizacional das medidas realizada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 §4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comparativa PROFARMA + GASMIG com identificação de tendências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Ações corretivas para desvios registradas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MED-PROFARMA01-001 §6; MED-GASMIG02-001 §6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Ações documentadas para SPI e desvio de estimativa de alertas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Resultados comunicados aos interessados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MED-PROFARMA01-001 §7; MED-GASMIG02-001 §7; REG-MED-001 §5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Comunicação quinzenal (RAC), por encerramento e consolidação organizacional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medidas avaliado (qualidade das medidas)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REG-MED-001; PLA-MED-001 §8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integridade e consistência documentada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Resultado MED:</w:t>
      </w:r>
      <w:r>
        <w:rPr>
          <w:rFonts w:ascii="Calibri" w:hAnsi="Calibri"/>
          <w:b w:val="0"/>
          <w:i w:val="0"/>
          <w:sz w:val="22"/>
        </w:rPr>
        <w:t xml:space="preserve"> Conforme — 7/7 itens.</w:t>
      </w:r>
    </w:p>
    <w:p>
      <w:pPr>
        <w:pStyle w:val="Heading2"/>
        <w:keepNext/>
        <w:keepLines/>
      </w:pPr>
      <w:r>
        <w:t>3.3 Gerência de Configuração — camada organizacional (GCO)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GCO organizacional documentado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PLA-GCO-001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estratégia de controle, ICs, baselines e auditoria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verificada nos projetos do ciclo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 §3; GQA-GASMIG02-001 §2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Itens GCO-1 a GCO-3 auditados em todos os projetos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Template de GQA atualizado com itens de GCO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TPL-GPC-001 v1.1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GCO-1 a GCO-3 adicionados como itens padrão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Resultado GCO (org):</w:t>
      </w:r>
      <w:r>
        <w:rPr>
          <w:rFonts w:ascii="Calibri" w:hAnsi="Calibri"/>
          <w:b w:val="0"/>
          <w:i w:val="0"/>
          <w:sz w:val="22"/>
        </w:rPr>
        <w:t xml:space="preserve"> Conforme — 3/3 itens.</w:t>
      </w:r>
    </w:p>
    <w:p>
      <w:pPr>
        <w:pStyle w:val="Heading2"/>
        <w:keepNext/>
        <w:keepLines/>
      </w:pPr>
      <w:r>
        <w:t>3.4 Capacitação (CAP)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capacitação documentado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necessidades, ações e cronograma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mantido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REG-CAP-001 (Confluence)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Competências mapeadas por colaborador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capacidade dos processos disponível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MAPA-CAP-001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Relaciona papéis a competências exigidas e adquiridas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Resultado CAP:</w:t>
      </w:r>
      <w:r>
        <w:rPr>
          <w:rFonts w:ascii="Calibri" w:hAnsi="Calibri"/>
          <w:b w:val="0"/>
          <w:i w:val="0"/>
          <w:sz w:val="22"/>
        </w:rPr>
        <w:t xml:space="preserve"> Conforme — 3/3 itens.</w:t>
      </w:r>
    </w:p>
    <w:p>
      <w:pPr>
        <w:pStyle w:val="Heading2"/>
        <w:keepNext/>
        <w:keepLines/>
      </w:pPr>
      <w:r>
        <w:t>3.5 Gerência de Decisões (GDE)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gerência de decisões documentado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PRO-GDE-001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Define critérios de ativação e registro de análise de decisão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Registros de análise de decisão produzidos quando aplicável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GDE-PROFARMA01-001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arquiteturais do projeto PROFARMA registradas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Resultado GDE:</w:t>
      </w:r>
      <w:r>
        <w:rPr>
          <w:rFonts w:ascii="Calibri" w:hAnsi="Calibri"/>
          <w:b w:val="0"/>
          <w:i w:val="0"/>
          <w:sz w:val="22"/>
        </w:rPr>
        <w:t xml:space="preserve"> Conforme — 2/2 itens.</w:t>
      </w:r>
    </w:p>
    <w:p>
      <w:pPr>
        <w:pStyle w:val="Heading2"/>
        <w:keepNext/>
        <w:keepLines/>
      </w:pPr>
      <w:r>
        <w:t>3.6 Aquisição (AQU)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aquisição documentado (critérios de seleção, acordo, monitoramento e revisão técnica)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PRO-AQU-001 (§3–6); rastreabilidade AQU 1–4 (§9)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definido e disponível na biblioteca organizacional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Aplicabilidade da aquisição avaliada e registrada nos projetos do ciclo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 §5; ADAP-GASMIG02-001/002 §2; ADAP-FRUKI01-001/002 §2; ADAP-AASPCNJ01-001 §2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Nenhum projeto do ciclo subcontratou terceiro responsável por entrega; AQU registrado como </w:t>
            </w:r>
            <w:r>
              <w:rPr>
                <w:rFonts w:ascii="Calibri" w:hAnsi="Calibri"/>
                <w:b/>
                <w:i w:val="0"/>
                <w:sz w:val="20"/>
              </w:rPr>
              <w:t>não aplicável</w:t>
            </w:r>
            <w:r>
              <w:rPr>
                <w:rFonts w:ascii="Calibri" w:hAnsi="Calibri"/>
                <w:b w:val="0"/>
                <w:i w:val="0"/>
                <w:sz w:val="20"/>
              </w:rPr>
              <w:t>, com justificativa, em todas as adaptações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Resultado AQU:</w:t>
      </w:r>
      <w:r>
        <w:rPr>
          <w:rFonts w:ascii="Calibri" w:hAnsi="Calibri"/>
          <w:b w:val="0"/>
          <w:i w:val="0"/>
          <w:sz w:val="22"/>
        </w:rPr>
        <w:t xml:space="preserve"> Conforme — 2/2 itens. Não houve aquisição no ciclo; a não aplicabilidade está documentada e justificada em todos os projetos (PRO-AQU-001 §2).</w:t>
      </w:r>
    </w:p>
    <w:p>
      <w:pPr>
        <w:pStyle w:val="Heading2"/>
        <w:keepNext/>
        <w:keepLines/>
      </w:pPr>
      <w:r>
        <w:t>3.7 Gerência Organizacional de Software (OSW)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Diretrizes organizacionais de processos definidas e patrocinadas pela alta direção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POL-ORG-001; PRO-OSW-001 §1–2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Diretrizes alinhadas ao objetivo de crescer com qualidade e previsibilidade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Governança organizacional documentada (recursos, autoridade/competências, riscos, medidas)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 §3–6; MAPA-ORG-001; EST-GPC-002; REG-MED-001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Recursos garantidos, RACI definido e medidas organizacionais em uso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crítica dos processos pela direção conduzida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PRO-OSW-001 §7 (ata no Confluence)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trimestral, conduzida pelo COO com reporte ao CEO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portfólio documentada e operada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Conforme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PRO-OSW-002; REG-OSW-001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Portfólio do ciclo priorizado, com capacity acompanhado e sem conflito de recurso compartilhado no período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Resultado OSW:</w:t>
      </w:r>
      <w:r>
        <w:rPr>
          <w:rFonts w:ascii="Calibri" w:hAnsi="Calibri"/>
          <w:b w:val="0"/>
          <w:i w:val="0"/>
          <w:sz w:val="22"/>
        </w:rPr>
        <w:t xml:space="preserve"> Conforme — 4/4 itens.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Resumo por área de processo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Área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auditados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Conformes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Aderência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(org)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Achados e oportunidades de melhoria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Nenhuma não conformidade identificada nesta auditoria organizacional.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Oportunidades de melhoria observadas (encaminhadas ao ciclo de GPC):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REG-MED-001 deve ser atualizado trimestralmente; periodicidade formal a ser incluída no PLA-MED-001 na próxima revisão (OM candidata).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Publicação dos ativos de processo no Confluence (CP-vii) pendente de ação manual pela equipe.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Parecer final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organização Timeware demonstra aderência plena aos processos organizacionais auditados neste ciclo (GPC, MED, GCO, CAP, GDE, AQU e OSW). Os ativos de processo estão documentados, os indicadores foram coletados e analisados, as melhorias foram identificadas e registradas, e as capacitações estão mapeadas. O processo de Aquisição (AQU) está definido e teve sua não aplicabilidade justificada e registrada nos projetos do ciclo; a governança organizacional e a gestão de portfólio (OSW) estão documentadas e operantes, com evidência consolidada no Painel de Portfólio (REG-OSW-001). O ciclo de melhoria contínua está operante, com pelo menos uma melhoria implementada (OM-06) e efetividade verificada.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Rastreabilidade com o modelo MR-MPS-SW:2024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este documento atende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3 — estratégia de GQA executada por função independente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§2: auditor = COO (independente das equipes de processo); §3: verificação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6 — aderência dos processos verificada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§3.1–3.7: aderência verificada em GPC, MED, GCO, CAP, GDE, AQU e OSW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7 — produtos de trabalho organizacionais verificados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§3.1–3.7: produtos de trabalho auditados em todas as áreas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Esta auditoria fornece também a </w:t>
      </w:r>
      <w:r>
        <w:rPr>
          <w:rFonts w:ascii="Calibri" w:hAnsi="Calibri"/>
          <w:b/>
          <w:i w:val="0"/>
          <w:sz w:val="22"/>
        </w:rPr>
        <w:t>verificação objetiva (GQA) dos processos organizacionais AQU e OSW</w:t>
      </w:r>
      <w:r>
        <w:rPr>
          <w:rFonts w:ascii="Calibri" w:hAnsi="Calibri"/>
          <w:b w:val="0"/>
          <w:i w:val="0"/>
          <w:sz w:val="22"/>
        </w:rPr>
        <w:t xml:space="preserve"> — atendendo aos critérios iv e v do atributo de processo no nível organizacional (CP_Organizacional) para esses dois processos, antes cobertos apenas pelas definições de processo.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 "Responsável" adicionado ao cabeçalho: Caroline Jenifer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auditoria organizacional ao final do ciclo MPS-SW Nível C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ampliado com a verificação organizacional de AQU (§3.6) e OSW (§3.7); resumo (§4), parecer (§6) e rastreabilidade atualizados; total de 23 para 29 itens auditados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13/06/2026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GQA-ORG-001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