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MINI-MANUAL — ESPECIFICAÇÃO DE REQUISITOS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GUIA-CAP-002   ·   Versão 1.2   ·   10/01/2026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GUIA-CAP-002 — Mini-manual REQ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10/01/2026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é.</w:t>
      </w:r>
      <w:r>
        <w:rPr>
          <w:rFonts w:ascii="Calibri" w:hAnsi="Calibri"/>
          <w:b w:val="0"/>
          <w:i w:val="0"/>
          <w:sz w:val="22"/>
        </w:rPr>
        <w:t xml:space="preserve"> O processo que define, organiza e mantém os requisitos do produto — desde a necessidade crua da parte interessada até o requisito especificado, priorizado e rastreável à implementação.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ele garante (o que "mede").</w:t>
      </w:r>
      <w:r>
        <w:rPr>
          <w:rFonts w:ascii="Calibri" w:hAnsi="Calibri"/>
          <w:b w:val="0"/>
          <w:i w:val="0"/>
          <w:sz w:val="22"/>
        </w:rPr>
        <w:t xml:space="preserve"> Que (1) as necessidades certas foram ouvidas das pessoas certas, (2) viraram requisitos claros e priorizados, (3) há rastreabilidade nos dois sentidos entre requisito e implementação, e (4) inconsistências entre requisitos, planos e produto são detectadas e tratadas. Não é uma métrica numérica — é cobertura e consistência: todo requisito tem origem, e toda implementação tem requisito.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Por que fazer.</w:t>
      </w:r>
      <w:r>
        <w:rPr>
          <w:rFonts w:ascii="Calibri" w:hAnsi="Calibri"/>
          <w:b w:val="0"/>
          <w:i w:val="0"/>
          <w:sz w:val="22"/>
        </w:rPr>
        <w:t xml:space="preserve"> Requisito mal levantado ou perdido é a causa mais cara de retrabalho: descobre-se tarde, quando já se construiu a coisa errada. A rastreabilidade bidirecional é o que permite, a qualquer momento, perguntar "por que isto existe?" (do código ao requisito) e "isto foi construído?" (do requisito ao código) — e detectar órfãos antes que virem problema.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Como usar no dia a dia.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Levante necessidades das partes interessadas (seção 1–2 do documento).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Transforme em requisitos com ID, prioridade e alocação (seção 3).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Obtenha o compromisso de quem vai construir (seção 4).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Mantenha a rastreabilidade viva: cada implementação cita o ID do requisito (seção 5).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 cada mudança de requisito, gere nova versão e registre o que mudou.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Periodicamente, rode a verificação de órfãos — é o que mantém o documento honesto.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Erro comum a evitar.</w:t>
      </w:r>
      <w:r>
        <w:rPr>
          <w:rFonts w:ascii="Calibri" w:hAnsi="Calibri"/>
          <w:b w:val="0"/>
          <w:i w:val="0"/>
          <w:sz w:val="22"/>
        </w:rPr>
        <w:t xml:space="preserve"> Tratar a rastreabilidade como burocracia preenchida no fim. Ela só funciona se for mantida durante a construção (o ID do requisito viaja com a tarefa e o commit), não reconstruída depois.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10/12/2024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15/04/2025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Clarificação sobre rastreabilidade e critérios de aceite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conforme PRO-REQ-001 v1.1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10/01/2026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10/01/2026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GUIA-CAP-002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