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[versão]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(TPL-PCP-001).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a ser preenchido por projeto.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 Seções de UX/UI aplicam-se apenas a projetos com interface de usuário; em projetos sem front-end, marque-as como "não aplicável" conforme a adaptação do processo.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DSG-PROJ-XXX]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[Arquiteto] / [Tech Lead] / [UX-UI, se aplicável]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[Resumo da solução desenhada e como ela atende aos requisitos.]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 — sempre aplicável</w:t>
      </w:r>
    </w:p>
    <w:p>
      <w:pPr>
        <w:pStyle w:val="Heading2"/>
        <w:keepNext/>
        <w:keepLines/>
      </w:pPr>
      <w:r>
        <w:t>2.1. Arquitetura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a arquitetura da solução: componentes, camadas, padrões adotados. Inclua diagrama quando possível.]</w:t>
      </w:r>
    </w:p>
    <w:p>
      <w:pPr>
        <w:pStyle w:val="Heading2"/>
        <w:keepNext/>
        <w:keepLines/>
      </w:pPr>
      <w:r>
        <w:t>2.2. Modelo de dados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[Entidades principais e relacionamentos.]</w:t>
      </w:r>
    </w:p>
    <w:p>
      <w:pPr>
        <w:pStyle w:val="Heading2"/>
        <w:keepNext/>
        <w:keepLines/>
      </w:pPr>
      <w:r>
        <w:t>2.3. Integrações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[Sistemas externos, APIs, contratos de integração.]</w:t>
      </w:r>
    </w:p>
    <w:p>
      <w:pPr>
        <w:pStyle w:val="Heading2"/>
        <w:keepNext/>
        <w:keepLines/>
      </w:pPr>
      <w:r>
        <w:t>2.4. Decisões de design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[Decisões relevantes e suas justificativas. Para decisões que atingem os gatilhos do PRO-GDE-001, referencie o RAD correspondente.]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 (se houver)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[RAD-XX]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 — [aplicável / não aplicável]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[Se não aplicável (projeto sem front-end), registre "não aplicável" e a justificativa. Se aplicável, preencha abaixo.]</w:t>
      </w:r>
    </w:p>
    <w:p>
      <w:pPr>
        <w:pStyle w:val="Heading2"/>
        <w:keepNext/>
        <w:keepLines/>
      </w:pPr>
      <w:r>
        <w:t>3.1. Wireframes / protótipos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[Referencie os wireframes/protótipos e seu status de validação com o cliente.]</w:t>
      </w:r>
    </w:p>
    <w:p>
      <w:pPr>
        <w:pStyle w:val="Heading2"/>
        <w:keepNext/>
        <w:keepLines/>
      </w:pPr>
      <w:r>
        <w:t>3.2. Validação com 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Tela/fluxo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Validado com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[sim/não]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[aprovado]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[Vincule os elementos de design aos requisitos que atendem. Pode referenciar a Matriz de Rastreabilidade.]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[RF-01]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[componente/tela/serviço]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a avaliação do design antes da construção: quem avaliou, o que foi verificado, problemas encontrados e tratamento.]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[resolvido]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[v]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[autor]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 que mudou]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