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[versão]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(TPL-VV-001).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VV-PROJ-XXX]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os produtos de trabalho que serão verificados/validados e o método de cada um.]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 (teste / revisão por pares / validação cliente)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do módulo X]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[code review + testes]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[requisitos]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[validação com cliente]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os tipos de teste aplicados, os critérios de aceite/aprovação e os ambientes.]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[critérios de aceite]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QA:</w:t>
      </w:r>
      <w:r>
        <w:rPr>
          <w:rFonts w:ascii="Calibri" w:hAnsi="Calibri"/>
          <w:b w:val="0"/>
          <w:i w:val="0"/>
          <w:sz w:val="22"/>
        </w:rPr>
        <w:t xml:space="preserve"> [tipos: funcional, integração, etc.]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[Azure Test Plans / Jira / Xray]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[homologação/staging]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Revisão por pares (VV 2)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[Como o code review é conduzido neste projeto — via PR, critérios, quem revisa.]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[Onde os casos de teste e resultados são registrados; como defeitos são tratados.]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Ciclo/sprint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 encontrados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[Como os resultados são analisados e comunicados; quais indicadores alimentam a Medição.]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[Registre os cenários de teste no formato Gherkin (happy path e sad path) e as evidências dos testes executados. Estes cenários servem para regressão e futura automação.]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[nome]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[happy path - descrição]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[contexto]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[ação]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[resultado esperado]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[sad path - descrição]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[contexto]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[ação inválida]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[tratamento esperado]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(happy/sad)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[print/vídeo/log]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[aprovado]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v[versão]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