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back-end/refatoração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a refatoração de serviços de retaguarda (API e CapturaServer);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necessidades operacionais da captura; o cliente valida resultados e aceita as entregas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 estimadas, ~6,5 meses, ciclo compartilhado com o projeto irmão AASP_CNJ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Gestão por horas/cards no GitLab (issues/quadro); sem story points (gestão por fases)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revisão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Merge Request (MR) no GitLab, revisado por ≥1 membro além do autor (GitFlow)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de qualidade do código e rastreabilidade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GMUD — pacotes versionados + DDL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testes; ciclo coordenado entre os dois projetos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não usa histórias/SP; testes organizados por cenário (CT-01 a CT-12) e fase (ver VV-AASPAP01-001)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e REL-VV-AASPAP01-001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(decisões D01–D07)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(REQ-AASPAP01-001)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(baseline REG-AASPAP01-001 v1.0, 08/06/2026)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(cenários de aceite CT-01 a CT-12, 100% aprovados —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total — encerramento previsto 30/06/2026 (Fase 5 — implantação em andamento)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ponto em aberto refere-se ao marco de encerramento total e será registrado ao final do projeto (TAE-AASPAP01-001 e a ata de aceite), conforme o estágio atual. O aceite por fase já ocorreu (Fases 1–2: Mar/2026; Fases 3–4: Jun/2026).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