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 DE ACOMPANHAMENTO — Fase 2 — Estabilização e integração RabbitMQ</w:t>
      </w:r>
    </w:p>
    <w:p>
      <w:r>
        <w:t>ATA-AASPAP01-003   ·   Versão 1.0   ·   31/03/2026   ·   Timeware Brasil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ATA-AASPAP01-003</w:t>
            </w:r>
          </w:p>
        </w:tc>
      </w:tr>
      <w:tr>
        <w:tc>
          <w:tcPr>
            <w:tcW w:type="dxa" w:w="4320"/>
          </w:tcPr>
          <w:p>
            <w:r>
              <w:t>Projeto</w:t>
            </w:r>
          </w:p>
        </w:tc>
        <w:tc>
          <w:tcPr>
            <w:tcW w:type="dxa" w:w="4320"/>
          </w:tcPr>
          <w:p>
            <w:r>
              <w:t>AASP_AndamentosProcessuais — Refatoração da Solução de Captura de Andamentos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AASP — Associação dos Advogados de São Paulo</w:t>
            </w:r>
          </w:p>
        </w:tc>
      </w:tr>
      <w:tr>
        <w:tc>
          <w:tcPr>
            <w:tcW w:type="dxa" w:w="4320"/>
          </w:tcPr>
          <w:p>
            <w:r>
              <w:t>Organização</w:t>
            </w:r>
          </w:p>
        </w:tc>
        <w:tc>
          <w:tcPr>
            <w:tcW w:type="dxa" w:w="4320"/>
          </w:tcPr>
          <w:p>
            <w:r>
              <w:t>Timeware Brasil Softwares e Serviços LTDA</w:t>
            </w:r>
          </w:p>
        </w:tc>
      </w:tr>
      <w:tr>
        <w:tc>
          <w:tcPr>
            <w:tcW w:type="dxa" w:w="4320"/>
          </w:tcPr>
          <w:p>
            <w:r>
              <w:t>Gerente de Projeto</w:t>
            </w:r>
          </w:p>
        </w:tc>
        <w:tc>
          <w:tcPr>
            <w:tcW w:type="dxa" w:w="4320"/>
          </w:tcPr>
          <w:p>
            <w:r>
              <w:t>Abraão Oliveira</w:t>
            </w:r>
          </w:p>
        </w:tc>
      </w:tr>
      <w:tr>
        <w:tc>
          <w:tcPr>
            <w:tcW w:type="dxa" w:w="4320"/>
          </w:tcPr>
          <w:p>
            <w:r>
              <w:t>Versão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31/03/2026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Reunião de acompanhamento de projeto (cadência por fase/marco)</w:t>
            </w:r>
          </w:p>
        </w:tc>
      </w:tr>
      <w:tr>
        <w:tc>
          <w:tcPr>
            <w:tcW w:type="dxa" w:w="4320"/>
          </w:tcPr>
          <w:p>
            <w:r>
              <w:t>Local / meio</w:t>
            </w:r>
          </w:p>
        </w:tc>
        <w:tc>
          <w:tcPr>
            <w:tcW w:type="dxa" w:w="4320"/>
          </w:tcPr>
          <w:p>
            <w:r>
              <w:t>Videoconferência</w:t>
            </w:r>
          </w:p>
        </w:tc>
      </w:tr>
      <w:tr>
        <w:tc>
          <w:tcPr>
            <w:tcW w:type="dxa" w:w="4320"/>
          </w:tcPr>
          <w:p>
            <w:r>
              <w:t>Responsável pela ata</w:t>
            </w:r>
          </w:p>
        </w:tc>
        <w:tc>
          <w:tcPr>
            <w:tcW w:type="dxa" w:w="4320"/>
          </w:tcPr>
          <w:p>
            <w:r>
              <w:t>Abraão Oliveira</w:t>
            </w:r>
          </w:p>
        </w:tc>
      </w:tr>
    </w:tbl>
    <w:p>
      <w:pPr>
        <w:pStyle w:val="Heading2"/>
      </w:pPr>
      <w:r>
        <w:t>1. Participantes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Nome</w:t>
            </w:r>
          </w:p>
        </w:tc>
        <w:tc>
          <w:tcPr>
            <w:tcW w:type="dxa" w:w="4320"/>
          </w:tcPr>
          <w:p>
            <w:r>
              <w:t>Papel</w:t>
            </w:r>
          </w:p>
        </w:tc>
      </w:tr>
      <w:tr>
        <w:tc>
          <w:tcPr>
            <w:tcW w:type="dxa" w:w="4320"/>
          </w:tcPr>
          <w:p>
            <w:r>
              <w:t>Abraão Oliveira</w:t>
            </w:r>
          </w:p>
        </w:tc>
        <w:tc>
          <w:tcPr>
            <w:tcW w:type="dxa" w:w="4320"/>
          </w:tcPr>
          <w:p>
            <w:r>
              <w:t>Gerente de Projeto</w:t>
            </w:r>
          </w:p>
        </w:tc>
      </w:tr>
      <w:tr>
        <w:tc>
          <w:tcPr>
            <w:tcW w:type="dxa" w:w="4320"/>
          </w:tcPr>
          <w:p>
            <w:r>
              <w:t>Cézar Hiraki Velázquez</w:t>
            </w:r>
          </w:p>
        </w:tc>
        <w:tc>
          <w:tcPr>
            <w:tcW w:type="dxa" w:w="4320"/>
          </w:tcPr>
          <w:p>
            <w:r>
              <w:t>Tech Lead / DevOps / Arquiteto</w:t>
            </w:r>
          </w:p>
        </w:tc>
      </w:tr>
      <w:tr>
        <w:tc>
          <w:tcPr>
            <w:tcW w:type="dxa" w:w="4320"/>
          </w:tcPr>
          <w:p>
            <w:r>
              <w:t>Raony Chagas</w:t>
            </w:r>
          </w:p>
        </w:tc>
        <w:tc>
          <w:tcPr>
            <w:tcW w:type="dxa" w:w="4320"/>
          </w:tcPr>
          <w:p>
            <w:r>
              <w:t>Desenvolvedor Sênior</w:t>
            </w:r>
          </w:p>
        </w:tc>
      </w:tr>
      <w:tr>
        <w:tc>
          <w:tcPr>
            <w:tcW w:type="dxa" w:w="4320"/>
          </w:tcPr>
          <w:p>
            <w:r>
              <w:t>Marcos Correa Fernandez Turnes</w:t>
            </w:r>
          </w:p>
        </w:tc>
        <w:tc>
          <w:tcPr>
            <w:tcW w:type="dxa" w:w="4320"/>
          </w:tcPr>
          <w:p>
            <w:r>
              <w:t>Sponsor / PO (AASP)</w:t>
            </w:r>
          </w:p>
        </w:tc>
      </w:tr>
    </w:tbl>
    <w:p>
      <w:pPr>
        <w:pStyle w:val="Heading2"/>
      </w:pPr>
      <w:r>
        <w:t>2. Pauta</w:t>
      </w:r>
    </w:p>
    <w:p>
      <w:r>
        <w:t>- Estabilização da fila unificada</w:t>
        <w:br/>
        <w:t>- Homologação EPROC/ESAJ (CR-AASPAP01-001)</w:t>
        <w:br/>
        <w:t>- Esforço e prazo</w:t>
      </w:r>
    </w:p>
    <w:p>
      <w:pPr>
        <w:pStyle w:val="Heading2"/>
      </w:pPr>
      <w:r>
        <w:t>3. Discussões e definições</w:t>
      </w:r>
    </w:p>
    <w:p>
      <w:r>
        <w:t>Concluída a Fase 2: fila unificada estabilizada e homologação por amostragem do fluxo EPROC/ESAJ. O escopo adicional de homologação EPROC/ESAJ e a devolutiva aos associados (CR-AASPAP01-001) foram absorvidos na fase (~+42 h, sem impacto no prazo final). Esforço ~72 h ante 66 h (+9%), sem defeitos.</w:t>
      </w:r>
    </w:p>
    <w:p>
      <w:pPr>
        <w:pStyle w:val="Heading2"/>
      </w:pPr>
      <w:r>
        <w:t>4. Decisões e aceites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Decisão / aceite</w:t>
            </w:r>
          </w:p>
        </w:tc>
        <w:tc>
          <w:tcPr>
            <w:tcW w:type="dxa" w:w="2880"/>
          </w:tcPr>
          <w:p>
            <w:r>
              <w:t>Responsável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</w:tr>
      <w:tr>
        <w:tc>
          <w:tcPr>
            <w:tcW w:type="dxa" w:w="2880"/>
          </w:tcPr>
          <w:p>
            <w:r>
              <w:t>Aceite da Fase 2 (fila unificada / homologação EPROC-ESAJ)</w:t>
            </w:r>
          </w:p>
        </w:tc>
        <w:tc>
          <w:tcPr>
            <w:tcW w:type="dxa" w:w="2880"/>
          </w:tcPr>
          <w:p>
            <w:r>
              <w:t>Marcos Correa Fernandez Turnes</w:t>
            </w:r>
          </w:p>
        </w:tc>
        <w:tc>
          <w:tcPr>
            <w:tcW w:type="dxa" w:w="2880"/>
          </w:tcPr>
          <w:p>
            <w:r>
              <w:t>31/03/2026</w:t>
            </w:r>
          </w:p>
        </w:tc>
      </w:tr>
      <w:tr>
        <w:tc>
          <w:tcPr>
            <w:tcW w:type="dxa" w:w="2880"/>
          </w:tcPr>
          <w:p>
            <w:r>
              <w:t>CR-AASPAP01-001 aprovado</w:t>
            </w:r>
          </w:p>
        </w:tc>
        <w:tc>
          <w:tcPr>
            <w:tcW w:type="dxa" w:w="2880"/>
          </w:tcPr>
          <w:p>
            <w:r>
              <w:t>Marcos Correa Fernandez Turnes</w:t>
            </w:r>
          </w:p>
        </w:tc>
        <w:tc>
          <w:tcPr>
            <w:tcW w:type="dxa" w:w="2880"/>
          </w:tcPr>
          <w:p>
            <w:r>
              <w:t>Jan/2026</w:t>
            </w:r>
          </w:p>
        </w:tc>
      </w:tr>
    </w:tbl>
    <w:p>
      <w:pPr>
        <w:pStyle w:val="Heading2"/>
      </w:pPr>
      <w:r>
        <w:t>5. Ações (follow-up)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Ação</w:t>
            </w:r>
          </w:p>
        </w:tc>
        <w:tc>
          <w:tcPr>
            <w:tcW w:type="dxa" w:w="2880"/>
          </w:tcPr>
          <w:p>
            <w:r>
              <w:t>Responsável</w:t>
            </w:r>
          </w:p>
        </w:tc>
        <w:tc>
          <w:tcPr>
            <w:tcW w:type="dxa" w:w="2880"/>
          </w:tcPr>
          <w:p>
            <w:r>
              <w:t>Prazo</w:t>
            </w:r>
          </w:p>
        </w:tc>
      </w:tr>
      <w:tr>
        <w:tc>
          <w:tcPr>
            <w:tcW w:type="dxa" w:w="2880"/>
          </w:tcPr>
          <w:p>
            <w:r>
              <w:t>Iniciar refatoração multi-fonte para o CNJ (Fase 3)</w:t>
            </w:r>
          </w:p>
        </w:tc>
        <w:tc>
          <w:tcPr>
            <w:tcW w:type="dxa" w:w="2880"/>
          </w:tcPr>
          <w:p>
            <w:r>
              <w:t>Raony Chagas / Mateus Veloso</w:t>
            </w:r>
          </w:p>
        </w:tc>
        <w:tc>
          <w:tcPr>
            <w:tcW w:type="dxa" w:w="2880"/>
          </w:tcPr>
          <w:p>
            <w:r>
              <w:t>Abr/2026</w:t>
            </w:r>
          </w:p>
        </w:tc>
      </w:tr>
    </w:tbl>
    <w:p>
      <w:pPr>
        <w:pStyle w:val="Heading2"/>
      </w:pPr>
      <w:r>
        <w:t>6. Próximos passos</w:t>
      </w:r>
    </w:p>
    <w:p>
      <w:r>
        <w:t>Fase 3 — Refatoração para suporte ao CNJ.</w:t>
      </w:r>
    </w:p>
    <w:p>
      <w:pPr>
        <w:pStyle w:val="Heading2"/>
      </w:pPr>
      <w: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Versão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31/03/2026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>Ata de acompanhamento da Fase 2, consolidada a partir de MED-AASPAP01-001 e do CR-AASPAP01-001.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